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 for the fiscal year ended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2013</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0-9376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INNOVATIVE FOOD HOLDINGS,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FLORIDA</w:t>
            </w:r>
          </w:p>
        </w:tc>
        <w:tc>
          <w:tcPr>
            <w:tcW w:w="2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20-116776</w:t>
            </w:r>
          </w:p>
        </w:tc>
        <w:tc>
          <w:tcPr>
            <w:tcW w:w="920" w:type="dxa"/>
            <w:vAlign w:val="bottom"/>
          </w:tcPr>
          <w:p>
            <w:pPr>
              <w:spacing w:after="0"/>
              <w:rPr>
                <w:sz w:val="17"/>
                <w:szCs w:val="17"/>
                <w:color w:val="auto"/>
              </w:rPr>
            </w:pPr>
          </w:p>
        </w:tc>
      </w:tr>
      <w:tr>
        <w:trPr>
          <w:trHeight w:val="237"/>
        </w:trPr>
        <w:tc>
          <w:tcPr>
            <w:tcW w:w="55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28411 Race Track Rd.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Bonita Springs, Florida 34135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(239) 596-0204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11" w:lineRule="exact"/>
        <w:rPr>
          <w:sz w:val="24"/>
          <w:szCs w:val="24"/>
          <w:color w:val="auto"/>
        </w:rPr>
      </w:pPr>
    </w:p>
    <w:p>
      <w:pPr>
        <w:ind w:right="1860"/>
        <w:spacing w:after="0" w:line="563" w:lineRule="auto"/>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o No x Indicate by check mark if the registrant is not required to file reports pursuant to Section 13 or Section 15(d) of the Act. o</w:t>
      </w:r>
    </w:p>
    <w:p>
      <w:pPr>
        <w:spacing w:after="0" w:line="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a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97" w:right="239" w:bottom="626"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tabs>
          <w:tab w:leader="none" w:pos="17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38" w:orient="portrait"/>
          <w:cols w:equalWidth="0" w:num="2">
            <w:col w:w="5640" w:space="720"/>
            <w:col w:w="5060"/>
          </w:cols>
          <w:pgMar w:left="240" w:top="297" w:right="239" w:bottom="626"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  Yes o  No x</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aggregate market value of the voting and non-voting stock held by non-affiliates was approximately $2,229,132as of June 28, 2013 , based upon a closing price of $0.38 per share for the registrant’s common stock on such date.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On March 24, 2014, a total of 7,408,350 shares of our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62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426"/>
        </w:trPr>
        <w:tc>
          <w:tcPr>
            <w:tcW w:w="3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80" w:type="dxa"/>
            <w:vAlign w:val="bottom"/>
            <w:gridSpan w:val="7"/>
          </w:tcPr>
          <w:p>
            <w:pPr>
              <w:jc w:val="center"/>
              <w:ind w:right="3120"/>
              <w:spacing w:after="0"/>
              <w:rPr>
                <w:sz w:val="20"/>
                <w:szCs w:val="20"/>
                <w:color w:val="auto"/>
              </w:rPr>
            </w:pPr>
            <w:r>
              <w:rPr>
                <w:rFonts w:ascii="Arial" w:cs="Arial" w:eastAsia="Arial" w:hAnsi="Arial"/>
                <w:sz w:val="18"/>
                <w:szCs w:val="18"/>
                <w:b w:val="1"/>
                <w:bCs w:val="1"/>
                <w:color w:val="auto"/>
              </w:rPr>
              <w:t>INNOVATIVE FOOD HOLDINGS, INC.</w:t>
            </w:r>
          </w:p>
        </w:tc>
        <w:tc>
          <w:tcPr>
            <w:tcW w:w="6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80" w:type="dxa"/>
            <w:vAlign w:val="bottom"/>
            <w:gridSpan w:val="7"/>
          </w:tcPr>
          <w:p>
            <w:pPr>
              <w:jc w:val="center"/>
              <w:ind w:right="3120"/>
              <w:spacing w:after="0"/>
              <w:rPr>
                <w:sz w:val="20"/>
                <w:szCs w:val="20"/>
                <w:color w:val="auto"/>
              </w:rPr>
            </w:pPr>
            <w:r>
              <w:rPr>
                <w:rFonts w:ascii="Arial" w:cs="Arial" w:eastAsia="Arial" w:hAnsi="Arial"/>
                <w:sz w:val="18"/>
                <w:szCs w:val="18"/>
                <w:b w:val="1"/>
                <w:bCs w:val="1"/>
                <w:color w:val="auto"/>
              </w:rPr>
              <w:t>INDEX TO ANNUAL REPORT ON FORM 10-K</w:t>
            </w:r>
          </w:p>
        </w:tc>
        <w:tc>
          <w:tcPr>
            <w:tcW w:w="6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4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rPr>
              <w:t>FILED WITH THE SECURITIES AND EXCHANGE COMMISSION</w:t>
            </w:r>
          </w:p>
        </w:tc>
        <w:tc>
          <w:tcPr>
            <w:tcW w:w="6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4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98"/>
              </w:rPr>
              <w:t>FOR THE FISCAL YEAR ENDED DECEMBER 31, 2013</w:t>
            </w:r>
          </w:p>
        </w:tc>
        <w:tc>
          <w:tcPr>
            <w:tcW w:w="6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80" w:type="dxa"/>
            <w:vAlign w:val="bottom"/>
            <w:gridSpan w:val="7"/>
          </w:tcPr>
          <w:p>
            <w:pPr>
              <w:jc w:val="center"/>
              <w:ind w:right="3100"/>
              <w:spacing w:after="0"/>
              <w:rPr>
                <w:sz w:val="20"/>
                <w:szCs w:val="20"/>
                <w:color w:val="auto"/>
              </w:rPr>
            </w:pPr>
            <w:r>
              <w:rPr>
                <w:rFonts w:ascii="Arial" w:cs="Arial" w:eastAsia="Arial" w:hAnsi="Arial"/>
                <w:sz w:val="18"/>
                <w:szCs w:val="18"/>
                <w:b w:val="1"/>
                <w:bCs w:val="1"/>
                <w:color w:val="auto"/>
              </w:rPr>
              <w:t>ITEMS IN FORM 10-K</w:t>
            </w:r>
          </w:p>
        </w:tc>
        <w:tc>
          <w:tcPr>
            <w:tcW w:w="66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6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20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84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Properties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9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84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Legal Proceedings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9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84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Mine Safety Disclosures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453"/>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6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rPr>
              <w:t>PART II</w:t>
            </w:r>
          </w:p>
        </w:tc>
        <w:tc>
          <w:tcPr>
            <w:tcW w:w="66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84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Selected Financial Data</w:t>
              </w:r>
            </w:hyperlink>
          </w:p>
        </w:tc>
        <w:tc>
          <w:tcPr>
            <w:tcW w:w="17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9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40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Financial Statements</w:t>
              </w:r>
            </w:hyperlink>
          </w:p>
        </w:tc>
        <w:tc>
          <w:tcPr>
            <w:tcW w:w="834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84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Changes in and Disagreements With Accountants on Accounting and Financial Disclosure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334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808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453"/>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60" w:type="dxa"/>
            <w:vAlign w:val="bottom"/>
            <w:gridSpan w:val="6"/>
          </w:tcPr>
          <w:p>
            <w:pPr>
              <w:jc w:val="center"/>
              <w:ind w:right="4080"/>
              <w:spacing w:after="0"/>
              <w:rPr>
                <w:sz w:val="20"/>
                <w:szCs w:val="20"/>
                <w:color w:val="auto"/>
              </w:rPr>
            </w:pPr>
            <w:r>
              <w:rPr>
                <w:rFonts w:ascii="Arial" w:cs="Arial" w:eastAsia="Arial" w:hAnsi="Arial"/>
                <w:sz w:val="18"/>
                <w:szCs w:val="18"/>
                <w:b w:val="1"/>
                <w:bCs w:val="1"/>
                <w:color w:val="auto"/>
              </w:rPr>
              <w:t>PART III</w:t>
            </w:r>
          </w:p>
        </w:tc>
        <w:tc>
          <w:tcPr>
            <w:tcW w:w="66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84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2"/>
          </w:tcPr>
          <w:p>
            <w:pPr>
              <w:spacing w:after="0"/>
              <w:rPr>
                <w:sz w:val="17"/>
                <w:szCs w:val="17"/>
                <w:color w:val="auto"/>
              </w:rPr>
            </w:pPr>
          </w:p>
        </w:tc>
        <w:tc>
          <w:tcPr>
            <w:tcW w:w="576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84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Certain Relationships and Related Transactions, and Director Independence</w:t>
              </w:r>
            </w:hyperlink>
          </w:p>
        </w:tc>
        <w:tc>
          <w:tcPr>
            <w:tcW w:w="256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Principal Accountant Fees and Services</w:t>
              </w:r>
            </w:hyperlink>
          </w:p>
        </w:tc>
        <w:tc>
          <w:tcPr>
            <w:tcW w:w="440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453"/>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5760" w:type="dxa"/>
            <w:vAlign w:val="bottom"/>
            <w:gridSpan w:val="6"/>
          </w:tcPr>
          <w:p>
            <w:pPr>
              <w:jc w:val="center"/>
              <w:ind w:right="4080"/>
              <w:spacing w:after="0"/>
              <w:rPr>
                <w:sz w:val="20"/>
                <w:szCs w:val="20"/>
                <w:color w:val="auto"/>
              </w:rPr>
            </w:pPr>
            <w:r>
              <w:rPr>
                <w:rFonts w:ascii="Arial" w:cs="Arial" w:eastAsia="Arial" w:hAnsi="Arial"/>
                <w:sz w:val="18"/>
                <w:szCs w:val="18"/>
                <w:b w:val="1"/>
                <w:bCs w:val="1"/>
                <w:color w:val="auto"/>
              </w:rPr>
              <w:t>PART IV</w:t>
            </w:r>
          </w:p>
        </w:tc>
        <w:tc>
          <w:tcPr>
            <w:tcW w:w="66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9240" w:type="dxa"/>
            <w:vAlign w:val="bottom"/>
            <w:gridSpan w:val="1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4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652"/>
        </w:trPr>
        <w:tc>
          <w:tcPr>
            <w:tcW w:w="3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PROVE INACCURATE</w:t>
      </w:r>
    </w:p>
    <w:p>
      <w:pPr>
        <w:spacing w:after="0" w:line="200" w:lineRule="exact"/>
        <w:rPr>
          <w:sz w:val="20"/>
          <w:szCs w:val="20"/>
          <w:color w:val="auto"/>
        </w:rPr>
      </w:pP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ANNUAL REPORT ON FORM 10-K CONTAINS CERTAIN FORWARD-LOOKING STATEMENTS AND INFORMATION RELATING TO US THAT ARE BASED ON THE BELIEFS OF MANAGEMENT, AS WELL AS ASSUMPTIONS MADE BY AND INFORMATION CURRENTLY AVAILABLE TO US. WHEN USED IN THIS DOCUMENT, THE WORDS "ANTICIPATE," "BELIEVE," "ESTIMATE," “SHOULD,” “PLAN,” AND "EXPECT" AND SIMILAR EXPRESSIONS, AS THEY RELATE TO US, ARE INTENDED TO IDENTIFY FORWARD-LOOKING STATEMENTS. SUCH STATEMENTS REFLECT OUR CURRENT VIEWS WITH RESPECT TO FUTURE EVENTS AND ARE SUBJECT TO CERTAIN RISKS, UNCERTAINTIES AND ASSUMPTIONS, INCLUDING THOSE DESCRIBED IN THIS ANNUAL REPORT ON FORM 10-K. SHOULD ONE OR MORE OF THESE RISKS OR UNCERTAINTIES MATERIALIZE, OR SHOULD UNDERLYING ASSUMPTIONS PROVE INCORRECT, ACTUAL RESULTS MAY VARY MATERIALLY FROM THOSE DESCRIBED HEREIN AS ANTICIPATED, BELIEVED, ESTIMATED, PLANNED OR EXPECTED. WE DO NOT INTEND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Delaware corporation, for 500,000 (post reverse-split) shares of our common stock.</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18, 2012, the Company executed a Stock Purchase Agreement to acquire all of the issued and outstanding shares of Artisan Specialty Foods, Inc., an Illinois corporation (“Artisan”), from its owner, Mr. David Vohaska. The purchase price was $1.2 million, with up to another $300,000 (with a fair value of $131,000) payable in the event certain financial milestones are met over the next one or two years. The purchase price was primarily financed via a loan from Alpha Capital in the principal amount of $1,200,000. Prior to the acquisition, Artisan was a supplier and had sold products to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currently conducted by our subsidiaries, Food Innovations, 4 The Gourmet, Inc. (d/b/a For The Gourmet, Inc.) and Gourmet Foodservice Group, Inc. Since its incorporation, Food Innovations, primarily through a relationship with US Foodservices, Inc. (“USF”), has been in the business of providing premium restaurants with the freshest origin-specific perishables, specialty food products, and healthcare products shipped directly from our network of vendors within 24 – 72 hours. Our customers include restaurants, hotels, country clubs, national chain accounts, casinos, hospitals and catering houses. Since its incorporation, For The Gourmet has been in the business of providing consumers with gourmet food products shipped directly from our network of vendors within 24 – 72 hours. Since its incorporation, Gourmet Foodservice is focused on expanding the Company’s program offerings to additional customers.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distribute over 7,300 perishable and specialty food products, including origin-specific seafood, domestic and imported meats, exotic game and poultry, artisanal cheeses, caviar, wild and cultivated mushrooms, micro-greens, heirloom and baby produce, organic farmed and manufactured food products, estate-bottled olive oils and aged vinegars. We are constantly adding other products that many food distributors cannot effectively warehouse, including organic products and specialty grocery items. We offer our customers access to the best food products available nationwide, quickly, most direct, and cost-effectively. Some of the items we sell include:</w:t>
      </w:r>
    </w:p>
    <w:p>
      <w:pPr>
        <w:spacing w:after="0" w:line="211" w:lineRule="exact"/>
        <w:rPr>
          <w:sz w:val="20"/>
          <w:szCs w:val="20"/>
          <w:color w:val="auto"/>
        </w:rPr>
      </w:pPr>
    </w:p>
    <w:p>
      <w:pPr>
        <w:ind w:left="760" w:hanging="149"/>
        <w:spacing w:after="0" w:line="282" w:lineRule="auto"/>
        <w:tabs>
          <w:tab w:leader="none" w:pos="80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Seafood </w:t>
      </w:r>
      <w:r>
        <w:rPr>
          <w:rFonts w:ascii="Arial" w:cs="Arial" w:eastAsia="Arial" w:hAnsi="Arial"/>
          <w:sz w:val="18"/>
          <w:szCs w:val="18"/>
          <w:color w:val="auto"/>
        </w:rPr>
        <w:t>- Alaskan wild king salmon, Hawaiian sashimi-grade ahi tuna, Gulf of Mexico day-boat snapper, Chesapeake Bay soft shell crabs, New</w:t>
      </w:r>
      <w:r>
        <w:rPr>
          <w:rFonts w:ascii="Arial" w:cs="Arial" w:eastAsia="Arial" w:hAnsi="Arial"/>
          <w:sz w:val="18"/>
          <w:szCs w:val="18"/>
          <w:b w:val="1"/>
          <w:bCs w:val="1"/>
          <w:color w:val="auto"/>
        </w:rPr>
        <w:t xml:space="preserve"> </w:t>
      </w:r>
      <w:r>
        <w:rPr>
          <w:rFonts w:ascii="Arial" w:cs="Arial" w:eastAsia="Arial" w:hAnsi="Arial"/>
          <w:sz w:val="18"/>
          <w:szCs w:val="18"/>
          <w:color w:val="auto"/>
        </w:rPr>
        <w:t>England live lobsters, Japanese hamachi</w:t>
      </w:r>
    </w:p>
    <w:p>
      <w:pPr>
        <w:spacing w:after="0" w:line="161" w:lineRule="exact"/>
        <w:rPr>
          <w:rFonts w:ascii="Arial" w:cs="Arial" w:eastAsia="Arial" w:hAnsi="Arial"/>
          <w:sz w:val="18"/>
          <w:szCs w:val="18"/>
          <w:color w:val="auto"/>
        </w:rPr>
      </w:pPr>
    </w:p>
    <w:p>
      <w:pPr>
        <w:ind w:left="800" w:hanging="189"/>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Meat &amp; Game </w:t>
      </w:r>
      <w:r>
        <w:rPr>
          <w:rFonts w:ascii="Arial" w:cs="Arial" w:eastAsia="Arial" w:hAnsi="Arial"/>
          <w:sz w:val="18"/>
          <w:szCs w:val="18"/>
          <w:color w:val="auto"/>
        </w:rPr>
        <w:t>- Prime rib of American kurobuta pork, dry-aged buffalo tenderloin, domestic lamb, Cervena venison, elk tenderloin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Produce</w:t>
      </w:r>
      <w:r>
        <w:rPr>
          <w:rFonts w:ascii="Arial" w:cs="Arial" w:eastAsia="Arial" w:hAnsi="Arial"/>
          <w:sz w:val="18"/>
          <w:szCs w:val="18"/>
          <w:color w:val="auto"/>
        </w:rPr>
        <w:t xml:space="preserve"> - White asparagus, baby carrot tri-color mix, Oregon wild ramps, heirloom tomatoes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Poultry</w:t>
      </w:r>
      <w:r>
        <w:rPr>
          <w:rFonts w:ascii="Arial" w:cs="Arial" w:eastAsia="Arial" w:hAnsi="Arial"/>
          <w:sz w:val="18"/>
          <w:szCs w:val="18"/>
          <w:color w:val="auto"/>
        </w:rPr>
        <w:t xml:space="preserve"> - Grade A foie gras, Hudson Valley quail, free range and organic chicken, airline breast of pheasant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Specialty</w:t>
      </w:r>
      <w:r>
        <w:rPr>
          <w:rFonts w:ascii="Arial" w:cs="Arial" w:eastAsia="Arial" w:hAnsi="Arial"/>
          <w:sz w:val="18"/>
          <w:szCs w:val="18"/>
          <w:color w:val="auto"/>
        </w:rPr>
        <w:t xml:space="preserve"> - Truffle oils, fennel pollen, prosciutto di Parma, wild boar sausage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Mushrooms -</w:t>
      </w:r>
      <w:r>
        <w:rPr>
          <w:rFonts w:ascii="Arial" w:cs="Arial" w:eastAsia="Arial" w:hAnsi="Arial"/>
          <w:sz w:val="18"/>
          <w:szCs w:val="18"/>
          <w:color w:val="auto"/>
        </w:rPr>
        <w:t xml:space="preserve"> Fresh morels, Trumpet Royale, porcini powder, wild golden chanterelles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Cheese -</w:t>
      </w:r>
      <w:r>
        <w:rPr>
          <w:rFonts w:ascii="Arial" w:cs="Arial" w:eastAsia="Arial" w:hAnsi="Arial"/>
          <w:sz w:val="18"/>
          <w:szCs w:val="18"/>
          <w:color w:val="auto"/>
        </w:rPr>
        <w:t xml:space="preserve"> Maytag blue, buffalo mozzarella, Spanish manchego, Italian gorgonzola dolce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 and Logistics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“live” chef-driven customer service department is available by telephone Monday through Thursday, from 8 a.m. to 6 p.m. and on Friday from 8 a.m. to 5 p.m., Florida time. The customer service department is made up of a team of chefs and culinary experts who are full-time employees of the Company, and who are experienced in all aspects of perishable and specialty products. By employing chefs and culinary experts to handle customer service, we are able to provide our customers with extensive information about our products, including:</w:t>
      </w:r>
    </w:p>
    <w:p>
      <w:pPr>
        <w:spacing w:after="0" w:line="214" w:lineRule="exact"/>
        <w:rPr>
          <w:sz w:val="20"/>
          <w:szCs w:val="20"/>
          <w:color w:val="auto"/>
        </w:rPr>
      </w:pPr>
    </w:p>
    <w:p>
      <w:pPr>
        <w:ind w:left="2680" w:hanging="161"/>
        <w:spacing w:after="0"/>
        <w:tabs>
          <w:tab w:leader="none" w:pos="2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Flavor profile and eating qualities</w:t>
      </w:r>
    </w:p>
    <w:p>
      <w:pPr>
        <w:spacing w:after="0" w:line="225" w:lineRule="exact"/>
        <w:rPr>
          <w:rFonts w:ascii="Arial" w:cs="Arial" w:eastAsia="Arial" w:hAnsi="Arial"/>
          <w:sz w:val="18"/>
          <w:szCs w:val="18"/>
          <w:color w:val="auto"/>
        </w:rPr>
      </w:pPr>
    </w:p>
    <w:p>
      <w:pPr>
        <w:ind w:left="2680" w:hanging="161"/>
        <w:spacing w:after="0"/>
        <w:tabs>
          <w:tab w:leader="none" w:pos="2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Recipe and usage ideas</w:t>
      </w:r>
    </w:p>
    <w:p>
      <w:pPr>
        <w:spacing w:after="0" w:line="225" w:lineRule="exact"/>
        <w:rPr>
          <w:rFonts w:ascii="Arial" w:cs="Arial" w:eastAsia="Arial" w:hAnsi="Arial"/>
          <w:sz w:val="18"/>
          <w:szCs w:val="18"/>
          <w:color w:val="auto"/>
        </w:rPr>
      </w:pPr>
    </w:p>
    <w:p>
      <w:pPr>
        <w:ind w:left="2680" w:hanging="161"/>
        <w:spacing w:after="0"/>
        <w:tabs>
          <w:tab w:leader="none" w:pos="2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Origin, seasonality, and availability</w:t>
      </w:r>
    </w:p>
    <w:p>
      <w:pPr>
        <w:spacing w:after="0" w:line="225" w:lineRule="exact"/>
        <w:rPr>
          <w:rFonts w:ascii="Arial" w:cs="Arial" w:eastAsia="Arial" w:hAnsi="Arial"/>
          <w:sz w:val="18"/>
          <w:szCs w:val="18"/>
          <w:color w:val="auto"/>
        </w:rPr>
      </w:pPr>
    </w:p>
    <w:p>
      <w:pPr>
        <w:ind w:left="2680" w:hanging="161"/>
        <w:spacing w:after="0"/>
        <w:tabs>
          <w:tab w:leader="none" w:pos="2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Cross utilization ideas and complementary uses of products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logistics team tracks every package to ensure timely delivery of products to our customers. The logistics manager receives tracking information on all products ordered, and packages are monitored from origin to delivery. In the event that delivery service is interrupted, our logistics department begins the process of expediting the package to its destination. The customer is then contacted before the expected delivery commitment time allowing the customer ample time to make arrangements for product replacement or menu changes. Our logistics manager works directly with our vendors to ensure our strict packaging requirements are in place at all times.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U.S. Foods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2010, one of our subsidiaries, Food Innovations, signed a new contract with U.S. Foods (“USF”). This contract with USF expired on December 31, 2012. However, the contract provides that it automatically renews for an additional 12-month term unless either party notifies the other in writing 30 days prior to the end date of its intent not to renew. Inasmuch as neither party gave the requisite notice, the agreement was automatically extended through December 31, 2013 and again through December 31, 2014. We believe that although a significant portion of our sales occurs through the USF sales force, the success of the program is less contingent on a contract then on the actual performance and quality of our products. Other than our business arrangements with USF, we are not affiliated with either USF or its subsidiary, Next Day Gourmet, L.P. (“Next Day Gourmet”). During the twelve months ended December 31, 2013 and 2012, sales to USF accounted for 72% and 76% of total sales,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U.S. economic recovery remains fragile, there appears to be much for the restaurant industry to celebrate. According to the National Restaurant Industry’s 2013 forecast, restaurant sales during 2014 are expected to grow by 3.8% over 2013, exceeding $6.5 billion. For our continued growth within the foodservice industry, we rely on the availability to our customers of our chefs' culinary skills, a high level of personal customer service, premium quality products, new product introductions and sales available through our relationship with USF.</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anticipate attempting to grow our current business both through increased sales of existing products to our existing foodservice customers, the introduction of new products to our foodservice customers, increasing our foodservice customer base, and through further entry into markets such as the direct to consumer market through a variety of potential sales channels, and sales partnerships and directly via the web.</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attempting to grow our current business, we believe that there are lateral opportunities in the food industry. We may consider the possibility of acquiring a gourmet food manufacturer or gourmet distributor at some future point in time. We anticipate that, given our current cash flow levels, any acquisition could potentially involve the issuance of additional shares of our common stock or third party financing, which may not be available on acceptable terms. No acquisition will be consummated without thorough due diligence. No assurance can be given that we will be able to identify and successfully conclude negotiations with any potential target.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 economic conditions and consumer confidence can affect the frequency of purchases and amounts spent by consumers for food-prepared-away-from-home and, in turn, can impact our customers and our sales. We believe the current general economic conditions, including pressure on consumer disposable income, may contribute to a slow or declining growth in the foodservice market. We intend to continue our efforts to expand our market share and grow earnings by focusing on sales growth, margin management, productivity gains and supply chain management, and product and service differentiation.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face intense competition in the marketing of our products and services, it is our belief that there is no other single company in the United States that offers such a broad range of customer service oriented, quality, chef driven products, for delivery in 24 to 72 hours. Our primary competition is from local purveyors that supply a limited local market and have a limited range of products and from other specialty gourmet distributors. However, many purveyors are well established, have reputations for success in the development and marketing of these types of products and services and have significantly greater financial, marketing, distribution, personnel and other resources. These financial and other capabilities permit such companies to implement extensive advertising and promotional campaigns, both generally and in response to efforts by additional competitors such as us, to enter into new markets and introduce new products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 general liability insurance policy with a per occurrence limit of $1,000,000 and aggregate policy covering $2,000,000 of liability. In addition, we have non-owned automobile personal injury coverage with a limit of $1,000,000. Such insurance may not be sufficient to cover all potential claims against us and additional insurance may not be available in the future at reasonable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Various federal and state laws currently exist, and more are sure to be adopted, regulating the delivery of fresh food products. We require all third-party vendors to certify that they maintain at least $2,000,000 liability insurance coverage and compliance with Hazard Analysis and Critical Control Point (HACCP), an FDA- and USDA-mandated food safety program, or a similar standard. Any changes in the government regulation of delivering of fresh food products that hinders our current ability and/or cost to deliver fresh products, could adversely impact our net revenues and gross margins and, therefore, our profitability and cash flows could also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currently employ 39 full-time employees, including 6 chefs and 2 executive officers. We believe that our relations with our employees are satisfactory.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are represented by a union.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Major Customers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Transactions with a major customer and related economic dependence information is set forth (1) following our discussion of Liquidity and Capital Resources, (2) Concentrations of Credit Risk in Note 2 to the Condensed Consolidated Financial Statements, (3) in Business – Relationship with U.S. Foods, (4) as the second item under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Us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Our executive offices are located at 28411 Race Track Rd., Bonita Springs, Florida 34135; our Internet address is </w:t>
      </w:r>
      <w:r>
        <w:rPr>
          <w:rFonts w:ascii="Arial" w:cs="Arial" w:eastAsia="Arial" w:hAnsi="Arial"/>
          <w:sz w:val="17"/>
          <w:szCs w:val="17"/>
          <w:u w:val="single" w:color="auto"/>
          <w:color w:val="auto"/>
        </w:rPr>
        <w:t>www.foodinno.com</w:t>
      </w:r>
      <w:r>
        <w:rPr>
          <w:rFonts w:ascii="Arial" w:cs="Arial" w:eastAsia="Arial" w:hAnsi="Arial"/>
          <w:sz w:val="17"/>
          <w:szCs w:val="17"/>
          <w:color w:val="auto"/>
        </w:rPr>
        <w:t>; and our telephone number is (239) 596-0204. The contents of our website are not incorporated in or deemed to be a part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to 2013, We Have a History of Losses Requiring Us To Seek Additional Sources of Capital</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December 31, 2013, we had an accumulated deficit of $6,663,363. We cannot assure you that we can sustain profitability on a quarterly or annual basis in the future. If revenues grow more slowly than we anticipate, or if operating expenses exceed our expectations or cannot be adjusted accordingly, we will incur losses. Our possible success is dependent upon the successful development and marketing of our services and products, as to which we can give no assurance. Any future success that we might enjoy will depend upon many factors, including factors out of our control or which cannot be predicted at this time. These factors may include changes in or increased levels of competition, including the entry of additional competitors and increased success by existing competitors, changes in general economic conditions, increases in operating costs, including costs of supplies, personnel, marketing and promotions, reduced margins caused by competitive pressures and other economic and non-economic factors. These conditions may have a materially adverse effect upon us or may force us to reduce or curtail operations. In addition, we could require additional funds to sustain and expand our sales and marketing activities, particularly if a well-financed competitor emerges. We can give no assurance that financing will be available in amounts or on terms acceptable to us, if at all. Our inability to obtain sufficient funds from our operations or external sources could require us to curtail or cease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Historically Derived Substantially All of Our Revenue From One Client and if We Were to Lose Such Client and Be Unable to Generate New Sales to Offset Such Loss, We May Be Forced to Cease or Curtail Our Operations.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2003, Next Day Gourmet initially contracted with our subsidiary, Food Innovations to handle the distribution of over 3,000 perishable and specialty food products to customers of USF. In February 2010, Food Innovations signed a new contract with USF that was scheduled to expire in December 2012 but was automatically extended for an additional 12 months in each of January 2013 and 2014. Our sales through USF’s sales force generated gross revenues for us of $16,993,108 in the year ended December 31, 2013, and $14,138,685 in the year ended December 31, 2012. Those amounts contributed 72% and 76% respectively, of our total sales in those periods. Our sales efforts are for the most part substantially dependent upon the efforts of the USF sales force. Although we have generated revenues from additional customers other than USF, if our relationship with USF were to be materially changed and we are unable to generate substantial new sales to offset such loss, we may be forced to cease or curtail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Growth Which Could Result in Our Being Unable to Maintain Our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strategy for growth is focused on continued enhancements and expansion to our existing business model, offering a broader range of services and products and affiliating with additional vendors and through possible joint ventures. Pursuing this strategy presents a variety of challenges. We may not experience an increase in our services to our existing customers, and we may not be able to achieve the economies of scale, or provide the business, administrative and financial services, required to sustain profitability from servicing our existing and future customer base. Should we be successful in our expansion efforts, the expansion of our business would place further demands on our management, operational capacity and financial resources. To a significant extent, our future success will be dependent upon our ability to maintain adequate financial controls and reporting systems to manage a larger operation and to obtain additional capital upon favorable terms. We can give no assurance that we will be able to successfully implement our planned expansion, finance its growth, or manage the resulting larger operations. In addition, we can give no assurance that our current systems, procedures or controls will be adequate to support any expansion of our operations. Our failure to manage our growth effectively could have a material adverse effect on our business, financial condition and results of operations.</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Foodservice Industry is Very Competitive, Which May Result in Decreased Revenue for Us as Well as Increased Expenses Associated With Marketing Our Services and Products.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against other providers of quality foods, some of which sell their services globally, and some of these providers have considerably greater resources and abilities than we have. These competitors may have greater marketing and sales capacity, established distribution networks, significant goodwill and global name recognition. Furthermore, it may become necessary for us to reduce our prices in response to competition. This could negatively impact our ability to be profitable.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Success Depends on Our Acceptance by the Chef Community and if the Chef Community Does Not Accept Our Products Then Our Revenue Will be Severely Limited.</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chef community may not embrace our products. Acceptance of our services will depend on several factors, including: cost, product freshness, convenience, timeliness, strategic partnerships and reliability. Any of these factors could have a material adverse effect on our business, results of operations and financial condition. We also cannot be sure that our business model will gain wide acceptance among chefs. If the market fails to continue to develop, or develops more slowly than we expect, our business, results of operations and financial condition will be adversely affected.</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Upon Outside Vendors and Shippers for Our Specialty Food Products and Interruption in the Supply of Our Products May Negatively Impact Our Revenues.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Shortages in supplies of the food products we sell may impair our ability to provide our services. Our vendors are independent and we cannot guarantee their future ability to source the products that we sell. Many of our products are wild-caught, and we cannot guarantee their availability in the future. Unforeseen strikes and labor disputes as well as adverse weather conditions may result in our inability to deliver our products in a timely manner. Since our customers rely on us to deliver their orders within 24-72 hours, delivery delays could significantly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and May Be Subject to Regulatory Compliance and Legal Uncertainties.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government regulation and supervision or proposed Department of Agriculture or other regulatory agency reforms or rule changes could impair our sources of revenue and limit our ability to expand our business. In the event any future laws or regulations are enacted which apply to us, we may have to expend funds and/or alter our operations to insure compliance.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Issuance of Shares Upon Conversion of Convertible Notes and Exercise of Outstanding Warrants May Cause Immediate and Substantial Dilution to Our Existing Stockholders.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issuance of shares upon conversion of convertible notes and exercise of warrants may result in substantial dilution to the interests of other stockholders since the note/warrant holders may ultimately convert or exercise and sell the full amount of shares issuable on conversion/exercise. Although, for the most part, such note/warrant holders may not convert their convertible notes and/or exercise their warrants if such conversion or exercise would cause them to own more than 9.99% of our outstanding common stock unless there was a management change or a change of control, this restriction does not prevent them from converting and/or exercising some of their holdings, selling off those shares, and then converting the rest of their holdings. In this way, they could sell more than this limit while never holding more than this limit. We anticipate that eventually, over time, the full amount of the convertible notes could be converted into shares of our common stock, in accordance with the terms of the secured convertible notes, which will cause significant dilution to our other shareholders.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Required for any Reason to Repay Our Outstanding Convertible Notes We Would Be Required to Deplete Our Working Capital, If Available, or Raise Additional Funds.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can be required to repay certain of our convertible notes or other notes. If we are required to repay a significant amount of these notes, we would be required to use our limited working capital and/or raise additional funds (which may be unavailable) which would have the effect of causing further dilution and lowering shareholder value. If we were unable to pay the notes when required, the note holders could commence legal action against us and foreclose on almost all of our assets to recover the amounts due. Any such action could require us to curtail or cease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Can be Affected by Price Increases Imposed by our Carriers.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deliver our products to our customers through third party overnight or express delivery carriers. If the carriers we use raise their shipping rates or add charges such as fuel surcharges and other charges, we will either have to absorb the increased costs which will put pressure on our bottom line or pass on the cost to our customers which may result in reduced sales if our customers are unwilling to pay the higher prices. Either way, such an increase in shipping costs will likely have a negative impact on our results of operations.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Common Stock is Subject to the "Penny Stock" Rules of the SEC and the Trading Market in Our Securities is Limited, Which Makes Transactions in Our Stock Cumbersome and May Reduce the Value of an Investment in Our Stock.</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and Exchange Commission has adopted Rule 15g-9 which establishes the definition of a "penny stock," for the purposes relevant to us, as any equity security that has a market price of less than $5.00 per share (post-reverse split) or with an exercise price of less than $5.00 per share, subject to certain exceptions. For any transaction involving a penny stock, unless exempt, the rules require:</w:t>
      </w:r>
    </w:p>
    <w:p>
      <w:pPr>
        <w:spacing w:after="0" w:line="181" w:lineRule="exact"/>
        <w:rPr>
          <w:sz w:val="20"/>
          <w:szCs w:val="20"/>
          <w:color w:val="auto"/>
        </w:rPr>
      </w:pPr>
    </w:p>
    <w:p>
      <w:pPr>
        <w:ind w:left="760" w:hanging="14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rFonts w:ascii="Arial" w:cs="Arial" w:eastAsia="Arial" w:hAnsi="Arial"/>
          <w:sz w:val="18"/>
          <w:szCs w:val="18"/>
          <w:color w:val="auto"/>
        </w:rPr>
      </w:pPr>
    </w:p>
    <w:p>
      <w:pPr>
        <w:ind w:left="760" w:hanging="149"/>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25" w:lineRule="exact"/>
        <w:rPr>
          <w:sz w:val="20"/>
          <w:szCs w:val="20"/>
          <w:color w:val="auto"/>
        </w:rPr>
      </w:pPr>
    </w:p>
    <w:p>
      <w:pPr>
        <w:ind w:left="760" w:hanging="14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rFonts w:ascii="Arial" w:cs="Arial" w:eastAsia="Arial" w:hAnsi="Arial"/>
          <w:sz w:val="18"/>
          <w:szCs w:val="18"/>
          <w:color w:val="auto"/>
        </w:rPr>
      </w:pPr>
    </w:p>
    <w:p>
      <w:pPr>
        <w:ind w:left="760" w:hanging="149"/>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170" w:lineRule="exact"/>
        <w:rPr>
          <w:sz w:val="20"/>
          <w:szCs w:val="20"/>
          <w:color w:val="auto"/>
        </w:rPr>
      </w:pPr>
    </w:p>
    <w:p>
      <w:pPr>
        <w:ind w:left="760" w:hanging="149"/>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rFonts w:ascii="Arial" w:cs="Arial" w:eastAsia="Arial" w:hAnsi="Arial"/>
          <w:sz w:val="18"/>
          <w:szCs w:val="18"/>
          <w:color w:val="auto"/>
        </w:rPr>
      </w:pPr>
    </w:p>
    <w:p>
      <w:pPr>
        <w:ind w:left="760" w:hanging="149"/>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17, 2008, we entered into a three-year lease with Grand Cypress Communities, Inc. for new premises consisting of 4,000 square feet at 3845 Beck Blvd., Naples, Florida. The commencement date of the lease was January 1, 2009. On November 11, 2011, the Company extended the lease with Grand Cypress Communities, Inc. for 3 years, commencing on January 1, 2012. The annual rent and fees under the lease was approximately $54,000. The lease provides for a buyout option at the end of the lease with credit towards the purchase price received for the rental payments made during the term of the lease. In February 2013, the lease agreement was amended to a two year lease ending December 31, 2013. The lease was mutually terminated effective August 31, 2013.</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7, 2012, we entered into a three-year lease with David and Sherri Vohaska for approximately 18,700 feet of office and warehouse space located at 8121 Ogden Avenue, Lyons, Illinois. The annual rent under the lease is approximately $8,333 per month for the first year, $8,417 per month for the second year, and $8,500 for the third year. David Vohaska is currently an employee of the Company and prior to the acquisition of Artisan Specialty Foods, Inc. was the owner of Artisan.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 2011, the Company entered into a month-to-month lease with Grand Cypress Communities, Inc. for warehouse space consisting of 2,000 square feet at 3845 Beck Blvd., Naples, Florida. The commencement date of this lease was October 1, 2011. The monthly rent and fees under this lease was $848. This lease was terminated effective July 31, 2013.</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8, 2013, we purchased a building and property located at 28411 Race Track Road, Bonita Springs, Florida 34135. The property consists of approximately 1.1 acres of land and close to 10,000 square feet of combined office and warehouse space. The purchase price of the property was $770,000 and was financed in part by a five year mortgage in the amount of $546,000. The company relocated all of its office and warehouse facilities into the newly acquired building in Bonita Springs, Florida on July 15,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Prices for our common stock are quoted on the OTCQB. Since March 2004, our common stock has traded under the symbol "IVFH". Prior thereto, our common stock traded under the symbol "FBSN". 7,408,350 shares of our common stock were outstanding as of March 24, 2014. The following table sets forth the high and low closing sales prices of our common stock as reported in the OTCQB for each full quarterly period within the two most recent fiscal years.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r>
              <w:rPr>
                <w:rFonts w:ascii="Arial" w:cs="Arial" w:eastAsia="Arial" w:hAnsi="Arial"/>
                <w:sz w:val="18"/>
                <w:szCs w:val="18"/>
                <w:b w:val="1"/>
                <w:bCs w:val="1"/>
                <w:color w:val="auto"/>
              </w:rPr>
              <w:t>Fiscal Year Ending December 31, 2013</w:t>
            </w:r>
          </w:p>
        </w:tc>
        <w:tc>
          <w:tcPr>
            <w:tcW w:w="1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Second Quarter</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0.480</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0.300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0.360</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Fourth Quarter</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r>
    </w:tbl>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r>
              <w:rPr>
                <w:rFonts w:ascii="Arial" w:cs="Arial" w:eastAsia="Arial" w:hAnsi="Arial"/>
                <w:sz w:val="18"/>
                <w:szCs w:val="18"/>
                <w:b w:val="1"/>
                <w:bCs w:val="1"/>
                <w:color w:val="auto"/>
              </w:rPr>
              <w:t>Fiscal Year Ending December 31, 2012</w:t>
            </w:r>
          </w:p>
        </w:tc>
        <w:tc>
          <w:tcPr>
            <w:tcW w:w="1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Second Quarter</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0.705</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0.250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0.640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0.200</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Fourth Quarter</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0.448</w:t>
            </w:r>
          </w:p>
        </w:tc>
        <w:tc>
          <w:tcPr>
            <w:tcW w:w="2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0.246</w:t>
            </w:r>
          </w:p>
        </w:tc>
      </w:tr>
    </w:tbl>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quotations listed above reflect inter-dealer prices, without retail mark-up, mark-down or commission and may not represent actual transactions. On March 24, 2014, the closing price of our common stock as reported by the OTC Market was $1.61. All share prices have been restated to reflect the 1-50 reverse split implemented on June 30,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Holders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24, 2014, there were approximately 25 record holders of our common stock. In addition, we believe there are at least several hundred additional beneficial owners of our common stock whose shares are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dividends during the three most recently completed fiscal years, and have no current plans to pay dividends on our common stock. We currently intend to retain all earnings, if any, for use in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and Other Issuances of Our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twelve months ended December 31, 2013, the Company had the following transactions: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279,310 shares of common stock for settlement of a note. This issuance of shares was accrued in a prior period, and was carried as common stock subscribed in the Company’s balance sheet at December 31, 2012.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1,173,712 shares of common stock for the conversion of the principal of convertible notes in the aggregate amount or $174,833 and accrued interest in the amount of $118,593, for a total conversion value of $293,426.</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purchased 400,000 shares of the Company’s outstanding common stock. The purchase price was $100,000 and the Company recorded the transaction at cost to Treasury Stock. In addition, the Company has an additional 214,713 shares of common stock which are held in treasury stock at a cost of $99.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255,633 shares of common stock for the cashless exercise of warrants.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of the issuances described above were exempt from registration pursuant to Section 4(2) of the Securities Act of 1933 for the following reasons: (1) none of the issuances involved a public offering or public advertising for the payment of any commissions or fees; (2) the issuances for cash were to “accredited investors”; (3) the issuances upon conversion of notes were for notes held at least 12 months and did not involve the payment of any other consideration; and (4) all issuances to affiliates and to non-affiliates holding the securities for less than six months carried restrictive legends.</w:t>
      </w:r>
    </w:p>
    <w:p>
      <w:pPr>
        <w:sectPr>
          <w:pgSz w:w="11900" w:h="16838" w:orient="portrait"/>
          <w:cols w:equalWidth="0" w:num="1">
            <w:col w:w="11420"/>
          </w:cols>
          <w:pgMar w:left="240" w:top="121"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Securities and Derivative Liabilities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2013 and December 31, 2012, the Company had outstanding convertible notes payable in the aggregate principal amount of $898,648 and $2,147,749, respectively, with accrued interest of $720,189 and $759,053, respectively, which, if converted to common stock, will result in our issuance of approximately 6,435,252 and 7,256,844 shares of common stock, respectively, convertible at a fixed price of .25 per share.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issued warrants for holders to purchase an additional 5,819,129 and 6,964,000 shares of common stock at December 31, 2013 and 2012,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outstanding stock options to purchase an additional 2,580,000 and 2,070,000 shares of common stock at December 31, 2013 and 2012, respectively.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notes and warrants have each contractually agreed not to convert their convertible notes and/or exercise their warrants if such conversion or exercise would cause them to own more than 9.99% of our outstanding common stock, unless there was a management change or a change of control. However, this restriction does not prevent them from converting and/or exercising some of their holdings, selling off those shares, and then converting the rest of their holdings. These note and warrant holders have also contractually agreed not to sell an amount of our shares into the market on any day that would exceed 10% of the volume for such day.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2013 the Company we did not have any equity compensation plans. The following shares are issuable pursuant to individual employment arrangements: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20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average exercise</w:t>
            </w:r>
          </w:p>
        </w:tc>
        <w:tc>
          <w:tcPr>
            <w:tcW w:w="22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issued upon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price of</w:t>
            </w:r>
          </w:p>
        </w:tc>
        <w:tc>
          <w:tcPr>
            <w:tcW w:w="22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outstanding</w:t>
            </w:r>
          </w:p>
        </w:tc>
        <w:tc>
          <w:tcPr>
            <w:tcW w:w="22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options,</w:t>
            </w: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warrants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warrants, and</w:t>
            </w:r>
          </w:p>
        </w:tc>
        <w:tc>
          <w:tcPr>
            <w:tcW w:w="22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r>
      <w:tr>
        <w:trPr>
          <w:trHeight w:val="241"/>
        </w:trPr>
        <w:tc>
          <w:tcPr>
            <w:tcW w:w="3760" w:type="dxa"/>
            <w:vAlign w:val="bottom"/>
          </w:tcPr>
          <w:p>
            <w:pPr>
              <w:ind w:left="132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rights</w:t>
            </w:r>
          </w:p>
        </w:tc>
        <w:tc>
          <w:tcPr>
            <w:tcW w:w="2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column (a))</w:t>
            </w:r>
          </w:p>
        </w:tc>
      </w:tr>
      <w:tr>
        <w:trPr>
          <w:trHeight w:val="216"/>
        </w:trPr>
        <w:tc>
          <w:tcPr>
            <w:tcW w:w="3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Equity compensation plans approved by security</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Stock options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132,500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0.380</w:t>
            </w:r>
          </w:p>
        </w:tc>
        <w:tc>
          <w:tcPr>
            <w:tcW w:w="220" w:type="dxa"/>
            <w:vAlign w:val="bottom"/>
          </w:tcPr>
          <w:p>
            <w:pPr>
              <w:spacing w:after="0"/>
              <w:rPr>
                <w:sz w:val="18"/>
                <w:szCs w:val="18"/>
                <w:color w:val="auto"/>
              </w:rPr>
            </w:pP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Stock options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132,500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0.450</w:t>
            </w:r>
          </w:p>
        </w:tc>
        <w:tc>
          <w:tcPr>
            <w:tcW w:w="220" w:type="dxa"/>
            <w:vAlign w:val="bottom"/>
          </w:tcPr>
          <w:p>
            <w:pPr>
              <w:spacing w:after="0"/>
              <w:rPr>
                <w:sz w:val="18"/>
                <w:szCs w:val="18"/>
                <w:color w:val="auto"/>
              </w:rPr>
            </w:pP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Stock options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132,500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0.480</w:t>
            </w:r>
          </w:p>
        </w:tc>
        <w:tc>
          <w:tcPr>
            <w:tcW w:w="220" w:type="dxa"/>
            <w:vAlign w:val="bottom"/>
          </w:tcPr>
          <w:p>
            <w:pPr>
              <w:spacing w:after="0"/>
              <w:rPr>
                <w:sz w:val="18"/>
                <w:szCs w:val="18"/>
                <w:color w:val="auto"/>
              </w:rPr>
            </w:pP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9"/>
                <w:szCs w:val="19"/>
                <w:color w:val="auto"/>
              </w:rPr>
            </w:pPr>
          </w:p>
        </w:tc>
        <w:tc>
          <w:tcPr>
            <w:tcW w:w="14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r>
      <w:tr>
        <w:trPr>
          <w:trHeight w:val="25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2,580,000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0.544</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ectPr>
          <w:pgSz w:w="11900" w:h="16838" w:orient="portrait"/>
          <w:cols w:equalWidth="0" w:num="1">
            <w:col w:w="11420"/>
          </w:cols>
          <w:pgMar w:left="240" w:top="122"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83" w:lineRule="exact"/>
        <w:rPr>
          <w:sz w:val="20"/>
          <w:szCs w:val="20"/>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capital necessary to sustain our anticipated operations and implement our business plan,</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implement our business plan,</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sufficient cash to pay our lenders and other creditors,</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one major customer,</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employ and retain qualified management and employees,</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the efforts and abilities of our current employees and executive officers,</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regulations that are applicable to our current or anticipated business,</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demand for our services,</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diversification of our business plan,</w:t>
      </w:r>
    </w:p>
    <w:p>
      <w:pPr>
        <w:spacing w:after="0" w:line="225" w:lineRule="exact"/>
        <w:rPr>
          <w:rFonts w:ascii="Arial" w:cs="Arial" w:eastAsia="Arial" w:hAnsi="Arial"/>
          <w:sz w:val="18"/>
          <w:szCs w:val="18"/>
          <w:color w:val="auto"/>
        </w:rPr>
      </w:pPr>
    </w:p>
    <w:p>
      <w:pPr>
        <w:ind w:left="2260" w:hanging="14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general volatility of the capital markets and the establishment of a market for our shares, and</w:t>
      </w:r>
    </w:p>
    <w:p>
      <w:pPr>
        <w:spacing w:after="0" w:line="225" w:lineRule="exact"/>
        <w:rPr>
          <w:rFonts w:ascii="Arial" w:cs="Arial" w:eastAsia="Arial" w:hAnsi="Arial"/>
          <w:sz w:val="18"/>
          <w:szCs w:val="18"/>
          <w:color w:val="auto"/>
        </w:rPr>
      </w:pPr>
    </w:p>
    <w:p>
      <w:pPr>
        <w:jc w:val="both"/>
        <w:ind w:left="2220" w:hanging="106"/>
        <w:spacing w:after="0" w:line="264" w:lineRule="auto"/>
        <w:tabs>
          <w:tab w:leader="none" w:pos="2281"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and environmental weather conditions.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other risks detailed from time to time in our other filings with Securities and Exchange Commission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these financial statements included in this report requires us to make estimates and judgments that affect the reported amounts of assets, liabilities, revenues and expenses, and related disclosure of contingent assets and liabilities. These estimates include certain assumptions related to doubtful accounts receivable, stock-based services, valuation of financial instruments,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our estimates have not been materially inaccurate in past years, and our assumptions are not likely to change in the foreseeable future.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25, 2005, the Company entered into contracts which obligated the Company under certain circumstances to issue shares of common stock in excess of the number of shares of common stock authorized. Under accounting guidance provided by FASB ASC 815-40-05, effective August 25, 2005 the Company began to account for all derivative financial instruments, including warrants, conversion features embedded in notes payable, and stock options, via the liability method of accounting. Accordingly, all these instruments were valued at issuance utilizing the Black-Scholes valuation method, and were re-valued at each period ending date, also using the Black-Scholes valuation method. Any gain or loss from revaluation was charged to operations during the period.</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27, 2012, the Company entered into agreements (the “2012 Notes Payable Extension Agreement”) affecting the terms of certain of its convertible notes payable. One of these changes established a minimum conversion price for these notes of $0.05. Under accounting guidance provided by FASB ASC 815-40-05, this resulted in a change in accounting method for these instruments from derivative accounting to equity accounting. The Company revalued these instruments at December 27, 2012 using the Black-Scholes valuation method. Any gain or loss in value was charged to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certain key information regarding our warrants and warrant valuation assumptions at December 31, 2013 and 2012:</w:t>
      </w:r>
    </w:p>
    <w:p>
      <w:pPr>
        <w:spacing w:after="0" w:line="26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312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42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Number of warrants outstanding</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5,819,129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6,964,000</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Value at December 31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Number of warrants issued during the period</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Value of warrants issued during the year</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572,765</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Revaluation (gain) loss during the period</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172,785</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Black-Scholes model variables: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5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112.43%  -</w:t>
            </w:r>
          </w:p>
        </w:tc>
        <w:tc>
          <w:tcPr>
            <w:tcW w:w="200" w:type="dxa"/>
            <w:vAlign w:val="bottom"/>
          </w:tcPr>
          <w:p>
            <w:pPr>
              <w:spacing w:after="0"/>
              <w:rPr>
                <w:sz w:val="17"/>
                <w:szCs w:val="17"/>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Volatility</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214.36%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0.11%  -  1.18%</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Term (years)</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0.01-8.00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 Embedded conversion features of notes payable: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September 2005 through December 26, 2012, the Company accounted for conversion options embedded in convertible notes in accordance with FASB ASC 815-10-05. ASC 815-10-05 generally requires companies to bifurcate conversion options embedded in convertible notes from their host instruments and to account for them as free standing derivative financial instruments in accordance with ASC 815-40-05.</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December 27, 2012, the Company entered into the 2012 Notes Payable Extension Agreement with certain convertible note holders regarding twenty-five convertible notes in the aggregate amount of $2,037,249 in principal and $719,187 in accrued interest. Pursuant to the 2012 Notes Payable Extension Agreement, the maturity date of each note and accrued interest was extended to February 1, 2014 (unless the original maturity date was beyond the extended date, in which case the original maturity date did not change); the expiration date of each warrant associated with each of the notes was extended to August 1, 2015 (unless the original expiration date of each warrant was beyond August 1, 2015, in which case the original expiration date will not change); the minimum conversion price of the note and accrued interest, in the case of any adjustment to such price, was set to be $0.05 per share. The Company also agreed that for as long as the convertible notes are held by the existing note holders, it will not issue any common stock or other securities convertible into or exercisable for shares of common stock at a price of less than $0.05 per share. Accordingly, the conversion option and warrants were reclassified from liability to equity since the conversion and exercise prices were fixed and all other conditions were met to classify the conversion feature and warrants as equity.</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revalued its derivative equity instruments at December 27, 2012 using the Black-Scholes valuation method, and recorded losses on revaluation in the amount of $478,822 for the conversion options, $566,063 for the warrants, and $103,248 for stock options. This resulted in liabilities in the amount of $2,088,475 for the value of the warrants, $1,708,528 for the value of the conversion options, and $411,792 for the stock options. The value of the warrants and conversion options (a total of $3,797,001) was eliminated, and recorded as a gain on extinguishment of debt. The value of the stock options of $411,792 was eliminated, and recorded as a charge to additional paid-in capital.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certain key information regarding our Conversion options and conversion option valuation assumptions at December 31, 2013 and 2012:</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4"/>
          </w:tcPr>
          <w:p>
            <w:pPr>
              <w:ind w:left="300"/>
              <w:spacing w:after="0"/>
              <w:rPr>
                <w:sz w:val="20"/>
                <w:szCs w:val="20"/>
                <w:color w:val="auto"/>
              </w:rPr>
            </w:pPr>
            <w:r>
              <w:rPr>
                <w:rFonts w:ascii="Arial" w:cs="Arial" w:eastAsia="Arial" w:hAnsi="Arial"/>
                <w:sz w:val="18"/>
                <w:szCs w:val="18"/>
                <w:b w:val="1"/>
                <w:bCs w:val="1"/>
                <w:color w:val="auto"/>
              </w:rPr>
              <w:t>December 31,</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1"/>
        </w:trPr>
        <w:tc>
          <w:tcPr>
            <w:tcW w:w="300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conversion options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3,594,592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5,368,195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Value at December 31</w:t>
            </w:r>
          </w:p>
        </w:tc>
        <w:tc>
          <w:tcPr>
            <w:tcW w:w="25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0"/>
              </w:rPr>
              <w:t>Number of options issued during the year</w:t>
            </w: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1,200,000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5"/>
              </w:rPr>
              <w:t>Value of options issued during the year</w:t>
            </w:r>
          </w:p>
        </w:tc>
        <w:tc>
          <w:tcPr>
            <w:tcW w:w="25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263,664</w:t>
            </w:r>
          </w:p>
        </w:tc>
      </w:tr>
      <w:tr>
        <w:trPr>
          <w:trHeight w:val="202"/>
        </w:trPr>
        <w:tc>
          <w:tcPr>
            <w:tcW w:w="5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Number of options exercised or underlying notes paid</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during the year</w:t>
            </w:r>
          </w:p>
        </w:tc>
        <w:tc>
          <w:tcPr>
            <w:tcW w:w="1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1,773,603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3,419,284</w:t>
            </w: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w w:val="93"/>
              </w:rPr>
              <w:t>Value of options exercised or underlying</w:t>
            </w:r>
          </w:p>
        </w:tc>
        <w:tc>
          <w:tcPr>
            <w:tcW w:w="2580" w:type="dxa"/>
            <w:vAlign w:val="bottom"/>
            <w:gridSpan w:val="2"/>
          </w:tcPr>
          <w:p>
            <w:pPr>
              <w:jc w:val="right"/>
              <w:ind w:right="1320"/>
              <w:spacing w:after="0" w:line="201" w:lineRule="exact"/>
              <w:rPr>
                <w:sz w:val="20"/>
                <w:szCs w:val="20"/>
                <w:color w:val="auto"/>
              </w:rPr>
            </w:pPr>
            <w:r>
              <w:rPr>
                <w:rFonts w:ascii="Arial" w:cs="Arial" w:eastAsia="Arial" w:hAnsi="Arial"/>
                <w:sz w:val="18"/>
                <w:szCs w:val="18"/>
                <w:color w:val="auto"/>
                <w:w w:val="89"/>
              </w:rPr>
              <w:t>notes paid during</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the year</w:t>
            </w: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81,921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2"/>
              </w:rPr>
              <w:t>Revaluation loss (gain) during the period</w:t>
            </w: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281,024</w:t>
            </w:r>
          </w:p>
        </w:tc>
      </w:t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Black-Scholes model variables:</w:t>
            </w: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Volatility</w:t>
            </w: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112.43%  to</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214.36%</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to  1.18%</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Term (years)</w:t>
            </w: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 to 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options in accordance with FASB ASC 718-40. Options are valued upon issuance, and re-valued at each financial statement reporting date, utilizing the Black-Scholes valuation model. Option expense is recognized over the requisite service period of the related option award. Any change in value is charged to income or expense during the period. The following table illustrates certain key information regarding our options and option assumptions at December 31, 2013 and 2012:</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3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 outstanding</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2,070,000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Value at December 31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6"/>
              </w:rPr>
              <w:t>Number of options issued during the year</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Value of options issued during the year</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4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Number of options recognized during the year pursuant to</w:t>
            </w: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SFAS 123(R)</w:t>
            </w:r>
          </w:p>
        </w:tc>
        <w:tc>
          <w:tcPr>
            <w:tcW w:w="1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1,100,000</w:t>
            </w: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1"/>
              </w:rPr>
              <w:t>Value of options recognized during the year</w:t>
            </w:r>
          </w:p>
        </w:tc>
        <w:tc>
          <w:tcPr>
            <w:tcW w:w="152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w w:val="91"/>
              </w:rPr>
              <w:t>pursuant to</w:t>
            </w: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SFAS 123(R)</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178,183</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186,299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Revaluation (gain) during the period</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63,309</w:t>
            </w:r>
          </w:p>
        </w:tc>
      </w:tr>
      <w:tr>
        <w:trPr>
          <w:trHeight w:val="216"/>
        </w:trPr>
        <w:tc>
          <w:tcPr>
            <w:tcW w:w="3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Black-Scholes model variables: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Volatility</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186.46% to 189.28%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112.43%  to</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214.36%</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0.04% - 0.37%</w:t>
            </w: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to  1.18%</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Term (years)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0.45 - 4.00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0.26-5.00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Doubtful Accounts Receivable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maintained an allowance in the amount of $56,740 for doubtful accounts receivable at December 31, 2013, and $5,547 at December 31, 2012. Actual losses on accounts receivable were $6,729 for 2013 and $5,687 for 2012.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 Generally, these liabilities increased as the price of the Company’s stock increased (with resultant gain), and decreased as the Company’s stock decreased (yielding a loss). In December 2012, the Company removed these liabilities from its balance sheet by reclassifying them as equity; we expect the amount of future gains and losses recognized to be reduced.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history of losses, and as such has recorded no liability for income taxes. Until such time as the Company begins to provide evidence that a continued profit is a reasonable expectation, management will not determine that there is a basis for accruing an income tax liability. These estimates have been accurate in the past.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initially formed in June 1979 as Alpha Solarco Inc., a Colorado corporation. From June 1979 through February 2003, we were either inactive or involved in discontinued business ventures. In February 2003 we changed our name to Fiber Application Systems Technology, Ltd.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2004, we changed our state of incorporation by merging into Innovative Food Holdings, Inc. (“IVFH”), a Florida shell corporation. As a result of the merger we changed our name to that of Innovative Food Holdings, Inc. In February 2004 we also acquired Food Innovations and through FII and our other subsidiaries we are in the business of national food distribution and sales primarily using third-party shippers.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18, 2012, the Company executed a Stock Purchase Agreement to acquire all of the issued and outstanding shares of Artisan Specialty Foods, Inc., an Illinois corporation (“Artisan”), from its owner, Mr. David Vohaska. The purchase price was $1.2 million, with up to another $300,000 (with a fair value of $131,000) payable in the event certain financial milestones are met by April 30, 2014. The purchase price was primarily financed via a loan from Alpha Capital in the principal amount of $1,200,000. Prior to the acquisition, Artisan was a vendor and had sold products to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 Major Customer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Transactions with a major customer and related economic dependence information is set forth (1) following our discussion of Liquidity and Capital Resources, (2) under the heading Transactions with Major Customers in Note 14 to the Consolidated Financial Statements, and (3) in Business – Relationship with U.S. Foods, and (4) as the second item under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financial condition and results of operations for the years ended December 31, 2013 and 2012.</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discussion may contain forward looking-statements that involve risks and uncertainties. Our future results could differ materially from the forward looking-statements discussed in this report. This discussion should be read in conjunction with our consolidated financial statements, the notes thereto and other financial information included elsewhere in the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increased by $4,892,253 or approximately 26.3% to $23,502,740 for the year ended December 31, 2013 from $18,610,487 in the prior year. The increase was primarily attributable to year-over-year organic sales growth, but included a full 12 months of Artisan’s revenues in 2013 compared to only 7 months in 2012.</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and additional sales channel opportunities and will implement that strategy if, based on our analysis, we deem it beneficial to us.</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Any changes in the food distribution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segments may be hampered and negatively impacted by any economic tariffs that may be imposed in the United States or in foreign countries.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cost of goods sold for the twelve months ended December 31, 2013 was $16,853,557, an increase of $3,060,007 or approximately 22.2% compared to cost of goods sold of $13,793,550 for the twelve months ended December 31, 2012. Cost of goods sold is primarily made up of the following expenses for the twelve months ended December 31, 2013: cost of goods of specialty, meat, game, cheese poultry and other sales categories in the amount of $12,783,591; and shipping, handling, and purchase allowance expenses in the amount of $4,069,966. The cost of goods sold increase is mainly associated with the increase in sales. Total gross margin was approximately 28% of sales in 2013, compared to approximately 25% of sales in 2012.</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we continued to price our products in order to gain market share and increase the number of our end users. We were successful in both increasing sales and increasing market share. We currently expect, if market conditions and our product revenue mix remain constant, that our cost of goods sold will either remain stable or possibly improve slightly.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Selling, general, and administrative expenses increased by $1,453,137 or approximately 34.4% to $5,683,364 during the twelve months ended December 31, 2013 compared to $4,230,227 for the twelve months ended December 31, 2012. Selling, general and administrative expenses were primarily made up of the following for the twelve months ended December 31, 2013: payroll and related expenses, including employee benefits, in the amount of $3,384,062 , including non-cash compensation of $221,120 and commissions of $111,349; facilities and vehicles expense in the amount of $574,914; insurance expense in the amount of $271,129; amortization and depreciation in the amount of $262,881; computer support expenses in the amount of $126,038; consulting and professional fees in the amount of $253,006; banking and credit card fees expenses in the amount of $150,096; travel and entertainment expenses in the amount of $110,148; bad debt expense in the amount of $56,740; taxes of $53,765; and advertising and marketing expense in the amount of $25,742. The increase in selling, general, and administrative expenses was primarily due to: costs associated with the Company’s move into its new facility and improvements in the Company’s Florida warehouse, the bank loan, restructuring of the Company’s notes, and additional expenses associated with the Artisan acquisition and higher selling expenses and expansion expenses associated with Artisan and The Haley Group and Gourmet Foodservice group. We expect our selling, general, and administrative expenses to remain steady for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of interest income, increased by $1,394,768 or approximately 131.9% to $2,452,076 during the twelve months ended December 31, 2013, compared to $1,057,308 during the twelve months ended December 31, 2012. Approximately 5.3% or $130,064 of the interest expense was accrued or paid interest on the company’s notes payable; approximately 94.7% or $2,322,909 of the interest was associated with the amortization of the discounts on the Company’s notes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extinguishment of debt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 on extinguishment of debt was $3,797,001 during the year ended December 31, 2012 which was related to the restructure of certain of the Company’s convertible note agreements in 2012. There was no such gain during the year ended December 31,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Warrant Extension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twelve months ended December 31, 2012, the Company extended the term of certain of its warrants outstanding. The Company valued the cost of the extended term using the Black-Scholes valuation model, and charged the fair value of $842,100 to operations during the year ended December 31, 2012. There was no comparable charge during the year ended December 31, 2013.</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from change in fair value of warrant liability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27, 2012, the Company entered into the 2012 Notes Payable Extension Agreement, which affected the terms of certain of its convertible notes payable. Under accounting guidance provided by FASB ASC 815-40-05, this resulted in a change in accounting method for the Company’s warrants from derivative accounting to equity accounting. Accordingly, the Company did not revalue these instruments at December 31, 2013. The Company revalued these instruments during the year ended December 31, 2012 using the Black-Scholes valuation method. This revaluation resulted in a loss of $172,785 which the Company included in operations during the year ended December 31, 2012. There was no such comparable gain or loss during the current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from change in fair value of conversion option liability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27, 2012, the Company entered into the 2012 Notes Payable Extension Agreement which affected the terms of certain of its convertible notes payable. Under accounting guidance provided by FASB ASC 815-40-05, this resulted in a change in accounting method for the Company’s conversion options from derivative accounting to equity accounting. Accordingly, the Company did not revalue these instruments at December 31, 2013. The Company revalued these instruments during the year ended December 31, 2012 using the Black-Scholes valuation method. This revaluation resulted in a loss of $281,024, which the Company included in operations during the twelve months ended December 31, 2012. There was no such comparable gain or loss during the current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reasons above, the Company had a net loss for the year ended December 31, 2013 of $1,486,257, a decrease of $3,516,751 or approximately 173.2% compared to a net income of $2,030,494 during the twelve months ended December 31, 2012. For the twelve months ended December 31, 2013, approximately 165% or $2,452,076 of the loss was related to non-operational expenses as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at December 31, 2013</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2013, the Company had current assets of $3,696,105 consisting of cash and cash equivalents of $2,073,605, trade accounts receivable of $771,205, inventory of $839,979, and other current assets of $11,316. Also at December 31, 2013, the Company had current liabilities of $3,870,082, consisting of accounts payable and accrued liabilities of $1,808,259 (of which $523,110 was payable to related parties); accrued interest of $720,189 (of which $48,708 was payable to related parties); current portion of notes payable, net of discounts, of $1,150,523; current portion of notes payable – related parties of $110,500; and contingent purchase price liability of $80,881.</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twelve months ended December 31, 2013, the Company generated cash from operating activities in the amount of $1,354,881. This consisted of the Company’s net loss of $(1,486,257), offset by non-cash charges for the amortization of discount on notes payable of $2,322,909; depreciation and amortization of $262,882; increase in allowance for bad debt of $38,264; and non-cash compensation in the amount of $309,013. The Company’s cash position was also reduced by $91,930 as a result of changes in the components of current assets and current liabilities as well as a result of the payment of bonuses owed for 2012. The acquisition of Artisan had an effect on the components of the Company’s working capital. The following amounts were associated with Artisan at December 31, 2013: cash of $227,071; accounts receivable of $276,738; inventory of $750,094; other current assets of $8,333; accounts payable and accrued liabilities of $320,751; and current portion of lease payable of $12,649.</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had cash used by investing activities of $441,438 for the twelve months ended December 31, 2013, which consisted of $100,000 for the purchase of treasury stock, and $341,438 for the acquisition of land, building, and related furniture and fixtures. The Company had cash used by financing activities of $186,867 for the twelve months ended December 31, 2013, which consisted of principal payments on notes payable of $511,543 partially offset by proceeds from a bank loan of $32,676. The Company also paid a note in the principal amount of $675,324 with funds obtained from a bank term loan.</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had net working capital deficit of $173,977 as of December 31, 2013. We have generated positive cash flow from operations during the years ended December 31, 2013 and 2012. In addition, the Company’s auditors previously removed the going concern qualification to the audit opinion on the Company’s financial statements for the year ended December 31, 2012. The Company intends to continue to focus on increasing market share and cash flow from operations by focusing its sales activities on specific market segments and new product lines. Currently, we do not have any material long-term obligations other than those described in Note 9 to the financial statements included in this report. As we seek to increase our sales of new items and enter new markets, acquire new businesses as well as identify new and other consumer and food service oriented products and services, we may use existing cash reserves, long-term financing, or other means to finance such diversification.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Company’s cash flow from operations is insufficient, the Company may require additional financing in order to execute its operating plan and continue as a going concern. The Company cannot predict whether this additional financing will be in the form of equity or debt, or be in another form. The Company may not be able to obtain the necessary additional capital on a timely basis, on acceptable terms, or at all. The Company expects that any sale of additional equity securities or convertible debt will result in additional dilution to our stockholders.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 The Company has not made any adjustments to the financial statements which would be necessary should the Company not be able to continue as a going concern.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2014, in addition to our efforts to increase sales in our existing foodservice operations we plan to attempt to expand our business by expanding our focus to additional foodservice markets, exploring potential acquisition opportunities and continuing to extend our focus from a mainly wholesale foodservice business directed towards chefs to expanding sales in the direct to consumer specialty food market through a variety of direct to consumer sales channel relationships which are currently being explored. In addition we are currently exploring the introduction of a variety of new product categories and new product lines, to leverage our existing foodservice customer base.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assurances can be given that any of these plans will come to fruition or that if implemented that they will necessarily yield positive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management, inflation has not had a material effect on the Company’s financial condition or results of its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Major Customers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largest customer, USF and its affiliates, accounted for approximately 72% and 76.0% of total sales in the years ended December 31, 2013 and 2012, respectively. A contract with USF was set to expire December 31, 2012 but was automatically extended for an additional 12 months on January 1, 2013 and 2014. No other customer accounted for more than 1% of our net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conduct business with USF.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2006, the Company adopted FASB ASC 718-40. This statement requires the Company to measure the cost of employee services received in exchange for an award of equity instruments based on the grant-date fair value of the award. That cost is recognized over the period in which the employee is required to provide service in exchange for the award, which is usually the vesting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2005, the Company’s commitments to issue shares of common stock first exceeded its common stock authorized. At this time, the Company began to value its stock options via the liability method of accounting. Pursuant to guidance in ASC 718-40 the cost of these options are valued via the Black-Scholes valuation method when issued, and re-valued at each reporting period. The gain or loss from this revaluation is charged to compensation expense during the period.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Innovative Food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Naples, Florida</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 of Innovative Food Holdings, Inc., and subsidiaries (“the Company”) as of December 31, 2013 and 2012, the related consolidated statements of operations, stockholders' equity (deficiency), and cash flows for the years then ended. These consolidated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2013 and 2012 and the results of its operations and its cash flows for the yeasr then ended, in conformity with accounting principles generally accepted in the United States of America.</w:t>
      </w:r>
    </w:p>
    <w:p>
      <w:pPr>
        <w:spacing w:after="0" w:line="208"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LIGGETT, VOGT &amp; WEBB, P.A.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90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Innovative Food Holdings,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00" w:type="dxa"/>
            <w:vAlign w:val="bottom"/>
          </w:tcPr>
          <w:p>
            <w:pPr>
              <w:jc w:val="center"/>
              <w:ind w:left="2770"/>
              <w:spacing w:after="0"/>
              <w:rPr>
                <w:sz w:val="20"/>
                <w:szCs w:val="20"/>
                <w:color w:val="auto"/>
              </w:rPr>
            </w:pPr>
            <w:r>
              <w:rPr>
                <w:rFonts w:ascii="Arial" w:cs="Arial" w:eastAsia="Arial" w:hAnsi="Arial"/>
                <w:sz w:val="18"/>
                <w:szCs w:val="18"/>
                <w:b w:val="1"/>
                <w:bCs w:val="1"/>
                <w:color w:val="auto"/>
                <w:w w:val="87"/>
              </w:rPr>
              <w:t>Consolidated Balance Sheets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40" w:type="dxa"/>
            <w:vAlign w:val="bottom"/>
            <w:gridSpan w:val="3"/>
          </w:tcPr>
          <w:p>
            <w:pPr>
              <w:spacing w:after="0" w:line="201"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2,073,605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771,205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3,696,105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887,442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5,537,615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4,055,172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Accrued liabilities - related parties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523,110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interest, 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Accrued interest - related parties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48,708</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payable, current portion, net of discount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Notes payable - related parties,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110,500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Contingent purchase price liability</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3,870,082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1,929,631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Accrued interest - net, long term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719,187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Note payable - long term portion</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727,328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4,597,410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2,833,886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$0.0001 par value; 500,000,000 shares authorized; 7,732,456 and 6,023,801 shares issued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7,117,743 and 5,809,088 shares outstanding at December 31, 2013 and December 31, 2012,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7,702,893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6,329,553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 subscribed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Treasury stock, 400,304 and 304 shares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(100,099)</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(6,663,363)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940,205</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1,221,286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5,537,615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4,055,172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900" w:type="dxa"/>
            <w:vAlign w:val="bottom"/>
            <w:vMerge w:val="restart"/>
          </w:tcPr>
          <w:p>
            <w:pPr>
              <w:jc w:val="center"/>
              <w:ind w:left="2750"/>
              <w:spacing w:after="0"/>
              <w:rPr>
                <w:sz w:val="20"/>
                <w:szCs w:val="20"/>
                <w:color w:val="auto"/>
              </w:rPr>
            </w:pPr>
            <w:r>
              <w:rPr>
                <w:rFonts w:ascii="Arial" w:cs="Arial" w:eastAsia="Arial" w:hAnsi="Arial"/>
                <w:sz w:val="18"/>
                <w:szCs w:val="18"/>
                <w:color w:val="auto"/>
                <w:w w:val="88"/>
              </w:rPr>
              <w:t>See notes to consolidated financial statements.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240" w:type="dxa"/>
            <w:vAlign w:val="bottom"/>
            <w:gridSpan w:val="3"/>
          </w:tcPr>
          <w:p>
            <w:pPr>
              <w:jc w:val="center"/>
              <w:ind w:left="3094"/>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78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540" w:type="dxa"/>
            <w:vAlign w:val="bottom"/>
          </w:tcPr>
          <w:p>
            <w:pPr>
              <w:jc w:val="center"/>
              <w:ind w:left="3110"/>
              <w:spacing w:after="0"/>
              <w:rPr>
                <w:sz w:val="20"/>
                <w:szCs w:val="20"/>
                <w:color w:val="auto"/>
              </w:rPr>
            </w:pPr>
            <w:r>
              <w:rPr>
                <w:rFonts w:ascii="Arial" w:cs="Arial" w:eastAsia="Arial" w:hAnsi="Arial"/>
                <w:sz w:val="18"/>
                <w:szCs w:val="18"/>
                <w:b w:val="1"/>
                <w:bCs w:val="1"/>
                <w:color w:val="auto"/>
                <w:w w:val="91"/>
              </w:rPr>
              <w:t>Innovative Food Holdings, Inc.</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4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For the Year</w:t>
            </w: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23,502,740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18,610,487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16,853,557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6,649,183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4,816,937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5,683,364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4,230,227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26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5,683,364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4,230,227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965,819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586,710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2,452,076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80"/>
              <w:spacing w:after="0"/>
              <w:rPr>
                <w:sz w:val="20"/>
                <w:szCs w:val="20"/>
                <w:color w:val="auto"/>
              </w:rPr>
            </w:pPr>
            <w:r>
              <w:rPr>
                <w:rFonts w:ascii="Arial" w:cs="Arial" w:eastAsia="Arial" w:hAnsi="Arial"/>
                <w:sz w:val="18"/>
                <w:szCs w:val="18"/>
                <w:color w:val="auto"/>
              </w:rPr>
              <w:t>(Gain) from the extinguishment of debt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(3,797,001)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warrant extension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80"/>
              <w:spacing w:after="0"/>
              <w:rPr>
                <w:sz w:val="20"/>
                <w:szCs w:val="20"/>
                <w:color w:val="auto"/>
              </w:rPr>
            </w:pPr>
            <w:r>
              <w:rPr>
                <w:rFonts w:ascii="Arial" w:cs="Arial" w:eastAsia="Arial" w:hAnsi="Arial"/>
                <w:sz w:val="18"/>
                <w:szCs w:val="18"/>
                <w:color w:val="auto"/>
              </w:rPr>
              <w:t>(Gain) loss from change in fair value of warrant liability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172,785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(Gain) loss from change in fair value of conversion option liability</w:t>
            </w: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260"/>
              <w:spacing w:after="0"/>
              <w:rPr>
                <w:sz w:val="20"/>
                <w:szCs w:val="20"/>
                <w:color w:val="auto"/>
              </w:rPr>
            </w:pPr>
            <w:r>
              <w:rPr>
                <w:rFonts w:ascii="Arial" w:cs="Arial" w:eastAsia="Arial" w:hAnsi="Arial"/>
                <w:sz w:val="18"/>
                <w:szCs w:val="18"/>
                <w:color w:val="auto"/>
              </w:rPr>
              <w:t>Total other (income) 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2,452,076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(1,443,784)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(1,486,257)</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2,030,494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8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5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(1,486,257)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2,030,494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Net income (loss) per share - basic</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Net income (loss) per share - diluted</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6,500,506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5,698,434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diluted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6,500,506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12,530,222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40" w:type="dxa"/>
            <w:vAlign w:val="bottom"/>
            <w:vMerge w:val="restart"/>
          </w:tcPr>
          <w:p>
            <w:pPr>
              <w:jc w:val="center"/>
              <w:ind w:left="3110"/>
              <w:spacing w:after="0"/>
              <w:rPr>
                <w:sz w:val="20"/>
                <w:szCs w:val="20"/>
                <w:color w:val="auto"/>
              </w:rPr>
            </w:pPr>
            <w:r>
              <w:rPr>
                <w:rFonts w:ascii="Arial" w:cs="Arial" w:eastAsia="Arial" w:hAnsi="Arial"/>
                <w:sz w:val="18"/>
                <w:szCs w:val="18"/>
                <w:color w:val="auto"/>
                <w:w w:val="88"/>
              </w:rPr>
              <w:t>See notes to consolidated financial statements.</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880" w:type="dxa"/>
            <w:vAlign w:val="bottom"/>
            <w:gridSpan w:val="3"/>
          </w:tcPr>
          <w:p>
            <w:pPr>
              <w:jc w:val="center"/>
              <w:ind w:left="3459"/>
              <w:spacing w:after="0"/>
              <w:rPr>
                <w:sz w:val="20"/>
                <w:szCs w:val="20"/>
                <w:color w:val="auto"/>
              </w:rPr>
            </w:pPr>
            <w:r>
              <w:rPr>
                <w:rFonts w:ascii="Arial" w:cs="Arial" w:eastAsia="Arial" w:hAnsi="Arial"/>
                <w:sz w:val="18"/>
                <w:szCs w:val="18"/>
                <w:color w:val="auto"/>
                <w:w w:val="89"/>
              </w:rPr>
              <w:t>21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5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83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20" w:type="dxa"/>
            <w:vAlign w:val="bottom"/>
          </w:tcPr>
          <w:p>
            <w:pPr>
              <w:jc w:val="center"/>
              <w:ind w:left="2630"/>
              <w:spacing w:after="0"/>
              <w:rPr>
                <w:sz w:val="20"/>
                <w:szCs w:val="20"/>
                <w:color w:val="auto"/>
              </w:rPr>
            </w:pPr>
            <w:r>
              <w:rPr>
                <w:rFonts w:ascii="Arial" w:cs="Arial" w:eastAsia="Arial" w:hAnsi="Arial"/>
                <w:sz w:val="18"/>
                <w:szCs w:val="18"/>
                <w:b w:val="1"/>
                <w:bCs w:val="1"/>
                <w:color w:val="auto"/>
                <w:w w:val="91"/>
              </w:rPr>
              <w:t>Innovative Food Holdings, Inc.</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20" w:type="dxa"/>
            <w:vAlign w:val="bottom"/>
          </w:tcPr>
          <w:p>
            <w:pPr>
              <w:jc w:val="center"/>
              <w:ind w:left="26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For the</w:t>
            </w: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(1,486,257)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Increase in allowance for bad debts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38,264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262,882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126,855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Amortization of discount on notes payable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2,322,909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838,339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discount on accrued interest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Interest capitalized on note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Value of shares issued in settlement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Gain on the extinguishment of debt and accrued interest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(3,797,001)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Value of extension of term of warrants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Change in fair value of option liability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Change in fair value of conversion option liability</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150,336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and other current assets,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(319,911)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Accounts payable and accrued expenses - related party</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58,242</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134,670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1,354,881</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806,874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Payment to acquire Artisan Specialty Foods,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(1,176,605)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(341,438)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(441,438)</w:t>
            </w: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(1,217,353)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issuance of notes payable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from bank loan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324,676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Principal payments on debt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(511,543)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Principal payments on notes payable - related parties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(186,867)</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2,073,605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1,347,029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jc w:val="right"/>
              <w:ind w:right="30"/>
              <w:spacing w:after="0"/>
              <w:rPr>
                <w:sz w:val="20"/>
                <w:szCs w:val="20"/>
                <w:color w:val="auto"/>
              </w:rPr>
            </w:pPr>
            <w:r>
              <w:rPr>
                <w:rFonts w:ascii="Arial" w:cs="Arial" w:eastAsia="Arial" w:hAnsi="Arial"/>
                <w:sz w:val="18"/>
                <w:szCs w:val="18"/>
                <w:color w:val="auto"/>
              </w:rPr>
              <w:t>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48,278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35,327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jc w:val="right"/>
              <w:ind w:right="30"/>
              <w:spacing w:after="0"/>
              <w:rPr>
                <w:sz w:val="20"/>
                <w:szCs w:val="20"/>
                <w:color w:val="auto"/>
              </w:rPr>
            </w:pPr>
            <w:r>
              <w:rPr>
                <w:rFonts w:ascii="Arial" w:cs="Arial" w:eastAsia="Arial" w:hAnsi="Arial"/>
                <w:sz w:val="18"/>
                <w:szCs w:val="18"/>
                <w:color w:val="auto"/>
              </w:rPr>
              <w:t>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Issuance of 279,310 shares of common stock (post reverse-split) previously subscribed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75,665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 for purchase of land and building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Commitment to issue shares charged to common stock subscribed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Common stock and options issued in connection with Haley acquisition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Issuance of shares previously subscribed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7,302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Conversion of notes payable and accrued interest to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293,426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Issuance of common stock for cashless conversion of warrants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Payoff of note payable from proceeds of bank term loan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675,324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14" w:right="239" w:bottom="163"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63"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4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9"/>
          </w:tcPr>
          <w:p>
            <w:pPr>
              <w:jc w:val="right"/>
              <w:ind w:right="140"/>
              <w:spacing w:after="0"/>
              <w:rPr>
                <w:sz w:val="20"/>
                <w:szCs w:val="20"/>
                <w:color w:val="auto"/>
              </w:rPr>
            </w:pPr>
            <w:r>
              <w:rPr>
                <w:rFonts w:ascii="Arial" w:cs="Arial" w:eastAsia="Arial" w:hAnsi="Arial"/>
                <w:sz w:val="18"/>
                <w:szCs w:val="18"/>
                <w:b w:val="1"/>
                <w:bCs w:val="1"/>
                <w:color w:val="auto"/>
              </w:rPr>
              <w:t>Innovative Food Holdings, Inc.</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11"/>
          </w:tcPr>
          <w:p>
            <w:pPr>
              <w:ind w:left="8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Common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4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stock</w:t>
            </w:r>
          </w:p>
        </w:tc>
        <w:tc>
          <w:tcPr>
            <w:tcW w:w="22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Treasury stock</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Accum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APIC</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Subscribed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 31,</w:t>
            </w: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5,873,844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3,774,287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61,034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(7,207,600)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(3,371,791)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Shares issued for settlement of</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related to Haley</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37,485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Stock options related to Haley</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 options issued to</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for services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161,821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on notes payable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1,750,226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1,750,226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Rounding due to reverse stock</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split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Discount to notes payable due</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to beneficial conversion feature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accrued interest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87,376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notes</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conversion option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to equity</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81,921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value of</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from liability to</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411,792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for the year ended</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2,030,494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2,030,494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 31,</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6,023,801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6,329,553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(5,177,106)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1,221,286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for</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notes payable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accrued interest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1,173,712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293,308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previously subscribed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279,310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75,637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Cashless exercise of warrants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Fair value of stock options and</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options issued to</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178,183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on notes payable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826,238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for the year ended</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(1,486,257)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(1,486,257)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 31,</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7,732,456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7,702,893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400,304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(100,099)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(6,663,363)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275"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AND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Activity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FII is in the business of providing premium foodservice establishments, including white tablecloth restaurants with the freshest origin-specific perishables and specialty food products direct from its warehouses and from a network of vendors, to the end users (restaurants, hotels, country clubs, national chain accounts, casinos, and catering houses) across the United States within 24 - 72 hours. For The Gourmet Inc., through its website </w:t>
      </w:r>
      <w:r>
        <w:rPr>
          <w:rFonts w:ascii="Arial" w:cs="Arial" w:eastAsia="Arial" w:hAnsi="Arial"/>
          <w:sz w:val="17"/>
          <w:szCs w:val="17"/>
          <w:u w:val="single" w:color="auto"/>
          <w:color w:val="auto"/>
        </w:rPr>
        <w:t>www.forthegourmet.com</w:t>
      </w:r>
      <w:r>
        <w:rPr>
          <w:rFonts w:ascii="Arial" w:cs="Arial" w:eastAsia="Arial" w:hAnsi="Arial"/>
          <w:sz w:val="17"/>
          <w:szCs w:val="17"/>
          <w:color w:val="auto"/>
        </w:rPr>
        <w:t>, and through additional sales channels, provides the highest quality gourmet food products to the direct to consumer market. Gourmet Food Service Group, Inc. is focused on expanding the Company’s program offerings to additional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sell the majority of our products through a distributor relationship between FII and Next Day Gourmet, L.P., a subsidiary of U.S. Foods (“USF”), a $20 Billion broad line distributor. On May 18, 2012, the Company executed a Stock Purchase Agreement to acquire all of the issued and outstanding shares of Artisan Specialty Foods, Inc., an Illinois corporation (“Artisan”). Artisan was previously a supplier to the Company. Artisan is a supplier of over 1,500 niche gourmet products to over 500 customers in the Greater Chicago area.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doubtful accounts receivable, stock-based services, valuation of financial instruments,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our estimates have not been materially inaccurate in past years, and our assumptions are not likely to change in the foreseeable future.</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25, 2005, we entered into contracts which obligated the company under certain circumstances to issue shares of common stock in excess of the number of shares of common stock authorized. Under accounting guidance provided by FASB ASC 815-40-05, from August 25, 2005 through December 27, 2012, we accounted for all derivative financial instruments, including warrants, conversion features embedded in notes payable, and stock options, via the liability method of accounting. Accordingly, all these instruments were valued at issuance utilizing the Black-Scholes valuation method, and were re-valued at each period ending date, also using the Black-Scholes valuation method. Any gain or loss from revaluation was charged to operations during the period. On December 27, 2012, we entered into agreements (the “2012 Notes Payable Extension Agreement”) with certain holders of our convertible notes which, among other things, created a minimum conversion price for the principal amount of the notes of $0.05. Under accounting guidance provided by FASB ASC 815-40-05, this resulted in a change in accounting method for our derivative financial instruments to the equity method of accounting.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include the accounts of Innovative Food Holdings, Inc., and its wholly owned operating subsidiaries, Artisan Specialty Foods, Inc. (“Artisan”), Food Innovations, Inc. (“FII”), Food New Media Group, Inc. (“FNM”), Gourmet Foodservice Group, Inc. (“GFG”), Gourmet Foodservice Warehouse, Inc. (“GFGW”), The Haley Group, Inc., (“Haley”) , and 4 The Gourmet, Inc. (d/b/a For The Gourmet, Inc.) (“Gourmet” and collectively, the “Company, or “IVFH”). All material intercompany transactions have been eliminated upon consolidation of these entities.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revenue upon product delivery. All of our products are shipped either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revenue from product sales, the Company recognizes revenue in accordance with Financial Accounting Standards Board “FASB” Accounting Standards Codification “ASC” 605-15-05. ASC 605-15-05 requires that four basic criteria must be met before revenue can be recognized: (1) persuasive evidence of an arrangement exists; (2) delivery has occurred; (3) the selling price is fixed and determinable; and (4) collectability is reasonably assured. Determination of criteria (3) and (4) are based on management's judgments regarding the fixed nature of the selling prices of the products delivered and the collectability of those amounts.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in cost of goods sold all costs which are directly related to the generation of revenue. These costs include primarily the cost of the product plus the shipping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included in selling, general, and administrative expenses all other costs which support the Company’s operations but which are not includable as a cost of sales. These include primarily payroll, facility costs such as rent and utilities, selling expenses such as commissions and advertising, and other administrative costs including professional fees and costs associated with non-cash stock compensation. Advertising costs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include all highly liquid debt instruments with original maturities of three months or less which are not securing any corporate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an allowance for doubtful accounts equal to the estimated uncollectible amounts.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$56,740 and $5,547 at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valued at cost. Depreciation is provided over the estimated useful lives up to five years using the straight-line method. Leasehold improvements are depreciated on a straight-line basis over the term of the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service lives of property and equipment are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right="960"/>
        <w:spacing w:after="0" w:line="259" w:lineRule="auto"/>
        <w:rPr>
          <w:sz w:val="20"/>
          <w:szCs w:val="20"/>
          <w:color w:val="auto"/>
        </w:rPr>
      </w:pPr>
      <w:r>
        <w:rPr>
          <w:rFonts w:ascii="Arial" w:cs="Arial" w:eastAsia="Arial" w:hAnsi="Arial"/>
          <w:sz w:val="18"/>
          <w:szCs w:val="18"/>
          <w:color w:val="auto"/>
        </w:rPr>
        <w:t>Computer Equipment Warehouse Equipment Office Furniture and Fixtures Vehicles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45" w:lineRule="exact"/>
        <w:rPr>
          <w:sz w:val="20"/>
          <w:szCs w:val="20"/>
          <w:color w:val="auto"/>
        </w:rPr>
      </w:pPr>
    </w:p>
    <w:p>
      <w:pPr>
        <w:sectPr>
          <w:pgSz w:w="11900" w:h="16838" w:orient="portrait"/>
          <w:cols w:equalWidth="0" w:num="2">
            <w:col w:w="3080" w:space="720"/>
            <w:col w:w="762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is valued at the lower of cost or market and is determined by the first-in, first-out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amount of the Company’s cash and cash equivalents, accounts receivable, notes payable, line of credit, accounts payable and accrued expenses, none of which is held for trading, approximates their estimated fair values due to the short-term maturities of those financial instruments.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ASC 820-10, “Fair Value Measurements” (SFAS 157), which provides a framework for measuring fair value under GAAP.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requires that valuation techniques maximize the use of observable inputs and minimize the use of unobservable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reviews its property and equipment and any identifiable intangibles for impairment whenever events or changes in circumstances indicate that the carrying amount of an asset may not be recoverable. The test for impairment is required to be performed by management at least annually. Recoverability of assets to be held and used is measured by a comparison of the carrying amount of an asset to the future undiscounted operating cash flow expected to be generated by the asset. If such assets are considered to be impaired, the impairment to be recognized is measured by the amount by which the carrying amount of the asset exceeds the fair value of the asset. Long-lived assets to be disposed of are reported at the lower of carrying amount or fair value less costs to sell.</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2013, the Company’s management believes there is no impairment of its long-lived assets. There can be no assurance, however, that market conditions will not change which could result in impairment of long-lived assets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ASC 220-10-15 “Reporting Comprehensive Income,” establishes standards for reporting and displaying of comprehensive income, its components and accumulated balances. Comprehensive income is defined to include all changes in equity except those resulting from investments by owners and distributions to owners. Among other disclosures, ASC 220-10-15 requires that all items that are required to be recognized under current accounting standards as components of comprehensive income be reported in a financial statement that is displayed with the same prominence as other financial statements. The Company does not have any items of comprehensive income in any of the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Loss Per Share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Anti-dilutive shares at December 31, 2013:</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net loss causes all outstanding stock options and warrants to be antidilutive. As a result, the basic and dilutive losses per common share are the same for the year ended December 31, 2013, The Company excluded the following dilutive securities form the calculation of dilutive earnings per share because the effect would be anti-dilutive: options to purchase 1,920,000 and warrants to purchase 5,819,130, shares of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Anti-dilutive shares at December 31, 2012:</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2012, the Company excluded certain dilutive securities form the calculation of dilutive earnings per share because the effect would be anti-dilutive, including warrants to purchase 1,870,000 shares at exercise prices of $0.55 to $0.60 per share; 2,070,000 shares issuable upon the exercise of options at $0.35 to $0.40, and 1,531,256 shares issuable upon the conversion of notes and accrued interest at $1.00 per share.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was computed as follows for the year ended December 31, 2012:</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Income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Per-Share</w:t>
            </w:r>
          </w:p>
        </w:tc>
      </w:tr>
      <w:tr>
        <w:trPr>
          <w:trHeight w:val="241"/>
        </w:trPr>
        <w:tc>
          <w:tcPr>
            <w:tcW w:w="3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(Numerator)</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(Denominator)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2,030,494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5,698,434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notes and interest into common</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3820" w:type="dxa"/>
            <w:vAlign w:val="bottom"/>
          </w:tcPr>
          <w:p>
            <w:pPr>
              <w:ind w:left="80"/>
              <w:spacing w:after="0"/>
              <w:rPr>
                <w:sz w:val="20"/>
                <w:szCs w:val="20"/>
                <w:color w:val="auto"/>
              </w:rPr>
            </w:pPr>
            <w:r>
              <w:rPr>
                <w:rFonts w:ascii="Arial" w:cs="Arial" w:eastAsia="Arial" w:hAnsi="Arial"/>
                <w:sz w:val="18"/>
                <w:szCs w:val="18"/>
                <w:color w:val="auto"/>
              </w:rPr>
              <w:t>Additional shares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4,293,924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Decrease in interest expense due to conversion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130,007</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3820" w:type="dxa"/>
            <w:vAlign w:val="bottom"/>
          </w:tcPr>
          <w:p>
            <w:pPr>
              <w:ind w:left="80"/>
              <w:spacing w:after="0" w:line="201" w:lineRule="exact"/>
              <w:rPr>
                <w:sz w:val="20"/>
                <w:szCs w:val="20"/>
                <w:color w:val="auto"/>
              </w:rPr>
            </w:pPr>
            <w:r>
              <w:rPr>
                <w:rFonts w:ascii="Arial" w:cs="Arial" w:eastAsia="Arial" w:hAnsi="Arial"/>
                <w:sz w:val="18"/>
                <w:szCs w:val="18"/>
                <w:color w:val="auto"/>
                <w:w w:val="95"/>
              </w:rPr>
              <w:t>Remove loss on revaluation of conversion option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liability</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281,026</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 of in-the-money warrants: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ind w:left="80"/>
              <w:spacing w:after="0"/>
              <w:rPr>
                <w:sz w:val="20"/>
                <w:szCs w:val="20"/>
                <w:color w:val="auto"/>
              </w:rPr>
            </w:pPr>
            <w:r>
              <w:rPr>
                <w:rFonts w:ascii="Arial" w:cs="Arial" w:eastAsia="Arial" w:hAnsi="Arial"/>
                <w:sz w:val="18"/>
                <w:szCs w:val="18"/>
                <w:color w:val="auto"/>
              </w:rPr>
              <w:t>Additional shares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2,194,000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Remove loss on revaluation of warrant liability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663,238</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Shares accrued, not yet issued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343,864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3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3,104,765</w:t>
            </w: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12,530,222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r>
      <w:tr>
        <w:trPr>
          <w:trHeight w:val="21"/>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December 31, 2013 and 2012, trade receivables from the Company’s largest customer amount to 53% and 60%, respectively, of total trade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in prior year’s financial statements to conform to classifications used in the current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on the grant-date fair value of the award. That cost is recognized over the period in which the employee is required to provide service in exchange for the award, which is usually the vesting period.</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2005, the Company’s commitments to issue shares of common stock first exceeded its common stock authorized. At this time, the Company began to value its stock options via the liability method of accounting. Pursuant to guidance in ASC 718-40 the cost of these options were valued via the Black-Scholes valuation method when issued, and re-valued at each reporting period. The gain or loss from this revaluation was charged to compensation expense during the period. On December 27, 2012, the Company entered into the 2012 Notes Payable Extension Agreement with certain holders of its convertible notes which, among other things, created a minimum conversion price for the principal amount of the notes. Under accounting guidance provided by FASB ASC 815-40-05, this resulted in a change in accounting method for our derivative financial instruments to the equity method of accounting. We revalued our derivative liabilities at December 27, 2012, and charged the gain or loss from this revaluation to compensation expense during the period.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Options expense and gain or loss on revaluation during the twelve months ended December 31, 2013 and 2012 are summarized in the table below:</w:t>
      </w:r>
    </w:p>
    <w:p>
      <w:pPr>
        <w:spacing w:after="0" w:line="26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5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Pr>
          <w:p>
            <w:pPr>
              <w:spacing w:after="0"/>
              <w:rPr>
                <w:sz w:val="20"/>
                <w:szCs w:val="20"/>
                <w:color w:val="auto"/>
              </w:rPr>
            </w:pPr>
          </w:p>
        </w:tc>
      </w:tr>
      <w:tr>
        <w:trPr>
          <w:trHeight w:val="216"/>
        </w:trPr>
        <w:tc>
          <w:tcPr>
            <w:tcW w:w="5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Option expense</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178,183</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348,120</w:t>
            </w:r>
          </w:p>
        </w:tc>
      </w:tr>
      <w:tr>
        <w:trPr>
          <w:trHeight w:val="216"/>
        </w:trPr>
        <w:tc>
          <w:tcPr>
            <w:tcW w:w="5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(Gain) loss on revaluation of options</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63,311</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Recent Accounting Pronouncements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consolidated financial statements.</w:t>
      </w:r>
    </w:p>
    <w:p>
      <w:pPr>
        <w:sectPr>
          <w:pgSz w:w="11900" w:h="16838" w:orient="portrait"/>
          <w:cols w:equalWidth="0" w:num="1">
            <w:col w:w="11420"/>
          </w:cols>
          <w:pgMar w:left="240" w:top="121"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Artisan Specialty Foods, Inc.</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18, 2012, the Company executed a Stock Purchase Agreement to acquire all of the issued and outstanding shares of Artisan Specialty Foods, Inc., an Illinois corporation (“Artisan”), from its owner, Mr. David Vohaska. The purchase price was $1.2 million, with up to another $300,000 (with a fair value of $131,000) payable in the event certain financial milestones are met by April 30, 2014. During the years ended December 31, 2013 and 2012, the Company made payments in the aggregate amount of $160,933 and $82,930, respectively, to Mr. Vohaska for the attainment of certain of these financial milestones.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was allocated to Artisan’s net tangible assets, with the residual allocated to intangible assets:</w:t>
      </w:r>
    </w:p>
    <w:p>
      <w:pPr>
        <w:spacing w:after="0" w:line="24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Closing cash payment</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Contingent purchase price</w:t>
            </w:r>
          </w:p>
        </w:tc>
        <w:tc>
          <w:tcPr>
            <w:tcW w:w="3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131,000</w:t>
            </w:r>
          </w:p>
        </w:tc>
      </w:tr>
      <w:tr>
        <w:trPr>
          <w:trHeight w:val="21"/>
        </w:trPr>
        <w:tc>
          <w:tcPr>
            <w:tcW w:w="7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0"/>
        </w:trPr>
        <w:tc>
          <w:tcPr>
            <w:tcW w:w="7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918,515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Liabilities assumed *</w:t>
            </w: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(614,515)</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304,000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Trade name</w:t>
            </w:r>
          </w:p>
        </w:tc>
        <w:tc>
          <w:tcPr>
            <w:tcW w:w="3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217,000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244,000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415,000</w:t>
            </w:r>
          </w:p>
        </w:tc>
      </w:tr>
      <w:tr>
        <w:trPr>
          <w:trHeight w:val="257"/>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151,000</w:t>
            </w:r>
          </w:p>
        </w:tc>
      </w:tr>
      <w:tr>
        <w:trPr>
          <w:trHeight w:val="210"/>
        </w:trPr>
        <w:tc>
          <w:tcPr>
            <w:tcW w:w="7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purchase price</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1,331,000</w:t>
            </w:r>
          </w:p>
        </w:tc>
        <w:tc>
          <w:tcPr>
            <w:tcW w:w="80" w:type="dxa"/>
            <w:vAlign w:val="bottom"/>
            <w:tcBorders>
              <w:top w:val="single" w:sz="8" w:color="CCEEFF"/>
            </w:tcBorders>
          </w:tcPr>
          <w:p>
            <w:pPr>
              <w:spacing w:after="0"/>
              <w:rPr>
                <w:sz w:val="18"/>
                <w:szCs w:val="18"/>
                <w:color w:val="auto"/>
              </w:rPr>
            </w:pPr>
          </w:p>
        </w:tc>
      </w:tr>
      <w:tr>
        <w:trPr>
          <w:trHeight w:val="21"/>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excluding the Line of Credit paid off with closing cash payment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results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tables set forth the unaudited pro forma results of the Company as if the acquisition of Artisan had taken place on the first day of the periods presented. These combined results are not necessarily indicative of the results that may have been achieved had the companies always been combined.</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5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20,284,899</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2,219,314</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common share</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0.389</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0.208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basic</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5,698,434</w:t>
            </w:r>
          </w:p>
        </w:tc>
        <w:tc>
          <w:tcPr>
            <w:tcW w:w="120" w:type="dxa"/>
            <w:vAlign w:val="bottom"/>
            <w:shd w:val="clear" w:color="auto" w:fill="CCEEFF"/>
          </w:tcPr>
          <w:p>
            <w:pPr>
              <w:spacing w:after="0"/>
              <w:rPr>
                <w:sz w:val="18"/>
                <w:szCs w:val="18"/>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10,650,222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Haley Group</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Haley Group is a food manufacture representative that manages food manufacturing foodservice relationships at a food distributor’s corporate level. The Haley Group also provides their suppliers with guidance and assistance as needed at the distributor’s regional and divisional level. The Haley Group provides these services in exchange for a combination of monthly retainers and percentages of future sales of client products. On November 2, 2012, the Company, through its wholly-owned subsidiary The Haley Group, Inc., entered into an asset purchase agreement (the “Haley Acquisition Agreement”) with The Haley Group, LLC whereby the Company acquired all existing contracts between The Haley Group, LLC and its customers for the following consideration: 300,000 shares of the Company’s common stock; 150,000 shares of which vest immediately and 150,000 shares of which vest in one year under certain conditions; options to purchase 100,000 shares of the Company’s common stock at a price of $0.44 per share; and $20,000 cash contingent upon the attainment of future revenue milestones. During the year ended December 31, 2013, pursuant to certain terms of the Haley Acquisition Agreement, Mr. Haley would have been subject to a reduction in salary. The Company agreed not to reduce Mr. Haley’s salary; in return, Mr. Haley forfeited the options to purchase 100,000 shares of the Company’s common stock.</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Haley Group acquisition was valued at a total cost of $119,645. This intangible fair value of the purchase amount was allocated to Haley Group’s customer relationships and capitalized accordingly on the Company’s balance sheet at December 31, 2013 and is being amortized over 3 years. During the year ended December 31, 2013 and 2012, the Company charged to operations the amount of $39,882 and $3,323, respectively, related to the amortization of these intangible assets.</w:t>
      </w:r>
    </w:p>
    <w:p>
      <w:pPr>
        <w:sectPr>
          <w:pgSz w:w="11900" w:h="16838" w:orient="portrait"/>
          <w:cols w:equalWidth="0" w:num="1">
            <w:col w:w="11420"/>
          </w:cols>
          <w:pgMar w:left="240" w:top="121"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0000EE"/>
            </w:tcBorders>
          </w:tcPr>
          <w:p>
            <w:pPr>
              <w:spacing w:after="0"/>
              <w:rPr>
                <w:rFonts w:ascii="Arial" w:cs="Arial" w:eastAsia="Arial" w:hAnsi="Arial"/>
                <w:sz w:val="14"/>
                <w:szCs w:val="14"/>
                <w:color w:val="0000EE"/>
                <w:w w:val="93"/>
              </w:rPr>
            </w:pPr>
            <w:hyperlink w:anchor="page2">
              <w:r>
                <w:rPr>
                  <w:rFonts w:ascii="Arial" w:cs="Arial" w:eastAsia="Arial" w:hAnsi="Arial"/>
                  <w:sz w:val="14"/>
                  <w:szCs w:val="14"/>
                  <w:color w:val="0000EE"/>
                  <w:w w:val="93"/>
                </w:rPr>
                <w:t>Index</w:t>
              </w:r>
            </w:hyperlink>
          </w:p>
        </w:tc>
        <w:tc>
          <w:tcPr>
            <w:tcW w:w="548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26"/>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3. ACCOUNTS RECEIVABLE</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5820" w:type="dxa"/>
            <w:vAlign w:val="bottom"/>
            <w:gridSpan w:val="3"/>
          </w:tcPr>
          <w:p>
            <w:pPr>
              <w:spacing w:after="0"/>
              <w:rPr>
                <w:sz w:val="20"/>
                <w:szCs w:val="20"/>
                <w:color w:val="auto"/>
              </w:rPr>
            </w:pPr>
            <w:r>
              <w:rPr>
                <w:rFonts w:ascii="Arial" w:cs="Arial" w:eastAsia="Arial" w:hAnsi="Arial"/>
                <w:sz w:val="18"/>
                <w:szCs w:val="18"/>
                <w:color w:val="auto"/>
              </w:rPr>
              <w:t>At December 31, 2013 and 2012, accounts receivable consists of:</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customers</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827,945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965,352</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(56,740)</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(5,547)</w:t>
            </w:r>
          </w:p>
        </w:tc>
      </w:tr>
      <w:tr>
        <w:trPr>
          <w:trHeight w:val="27"/>
        </w:trPr>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771,205</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959,805</w:t>
            </w:r>
          </w:p>
        </w:tc>
      </w:tr>
      <w:tr>
        <w:trPr>
          <w:trHeight w:val="20"/>
        </w:trPr>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Inventory consists primarily of specialty products which are warehoused in Bonita Springs, Florida and Lyons, Illinois. At December 31, 2013 and 2012, finished goods inventory is as follows:</w:t>
      </w:r>
    </w:p>
    <w:p>
      <w:pPr>
        <w:spacing w:after="0" w:line="193" w:lineRule="exact"/>
        <w:rPr>
          <w:sz w:val="20"/>
          <w:szCs w:val="20"/>
          <w:color w:val="auto"/>
        </w:rPr>
      </w:pPr>
    </w:p>
    <w:p>
      <w:pPr>
        <w:ind w:left="7420"/>
        <w:spacing w:after="0"/>
        <w:tabs>
          <w:tab w:leader="none" w:pos="898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17145</wp:posOffset>
            </wp:positionV>
            <wp:extent cx="18783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20" w:lineRule="exact"/>
        <w:rPr>
          <w:sz w:val="20"/>
          <w:szCs w:val="20"/>
          <w:color w:val="auto"/>
        </w:rPr>
      </w:pPr>
    </w:p>
    <w:p>
      <w:pPr>
        <w:ind w:left="1440"/>
        <w:spacing w:after="0"/>
        <w:tabs>
          <w:tab w:leader="none" w:pos="6880" w:val="left"/>
          <w:tab w:leader="none" w:pos="7660" w:val="left"/>
          <w:tab w:leader="none" w:pos="8460" w:val="left"/>
          <w:tab w:leader="none" w:pos="9260" w:val="left"/>
        </w:tabs>
        <w:rPr>
          <w:sz w:val="20"/>
          <w:szCs w:val="20"/>
          <w:color w:val="auto"/>
        </w:rPr>
      </w:pPr>
      <w:r>
        <w:rPr>
          <w:rFonts w:ascii="Arial" w:cs="Arial" w:eastAsia="Arial" w:hAnsi="Arial"/>
          <w:sz w:val="18"/>
          <w:szCs w:val="18"/>
          <w:color w:val="auto"/>
        </w:rPr>
        <w:t>Finished goods 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839,979</w:t>
        <w:tab/>
        <w:t>$</w:t>
      </w:r>
      <w:r>
        <w:rPr>
          <w:sz w:val="20"/>
          <w:szCs w:val="20"/>
          <w:color w:val="auto"/>
        </w:rPr>
        <w:tab/>
      </w:r>
      <w:r>
        <w:rPr>
          <w:rFonts w:ascii="Arial" w:cs="Arial" w:eastAsia="Arial" w:hAnsi="Arial"/>
          <w:sz w:val="16"/>
          <w:szCs w:val="16"/>
          <w:color w:val="auto"/>
        </w:rPr>
        <w:t>517,631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Building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2013, the Company purchased a building and property located at 28411 Race Track Road, Bonita Springs, Florida 34135 and with respect thereto entered into each of a Loan Agreement, Mortgage, Security Agreement and Note with Fifth Third Bank, each with an effective date of February 26, 2013. The property consists of approximately 1.1 acres of land and close to 10,000 square feet of combined office and warehouse space and was purchased as part of a bank short sale. The Company moved its operations to these premises on July 15, 2013. The purchase price of the property was $792,758 and was financed in part by a five year mortgage in the amount of $546,000 carrying an annual interest rate of 3% above LIBOR Rate, as such term is defined in the Note.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at December 31, 2013 and 2012 is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4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177,383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Building</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619,955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462,508</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382,300</w:t>
            </w:r>
          </w:p>
        </w:tc>
      </w:tr>
      <w:tr>
        <w:trPr>
          <w:trHeight w:val="216"/>
        </w:trPr>
        <w:tc>
          <w:tcPr>
            <w:tcW w:w="4140" w:type="dxa"/>
            <w:vAlign w:val="bottom"/>
          </w:tcPr>
          <w:p>
            <w:pPr>
              <w:ind w:left="40"/>
              <w:spacing w:after="0"/>
              <w:rPr>
                <w:sz w:val="20"/>
                <w:szCs w:val="20"/>
                <w:color w:val="auto"/>
              </w:rPr>
            </w:pPr>
            <w:r>
              <w:rPr>
                <w:rFonts w:ascii="Arial" w:cs="Arial" w:eastAsia="Arial" w:hAnsi="Arial"/>
                <w:sz w:val="18"/>
                <w:szCs w:val="18"/>
                <w:color w:val="auto"/>
              </w:rPr>
              <w:t>Warehouse Equipment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7,733</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7,733</w:t>
            </w:r>
          </w:p>
        </w:tc>
      </w:tr>
      <w:tr>
        <w:trPr>
          <w:trHeight w:val="216"/>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162,128</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152,236</w:t>
            </w:r>
          </w:p>
        </w:tc>
      </w:tr>
      <w:tr>
        <w:trPr>
          <w:trHeight w:val="216"/>
        </w:trPr>
        <w:tc>
          <w:tcPr>
            <w:tcW w:w="4140" w:type="dxa"/>
            <w:vAlign w:val="bottom"/>
          </w:tcPr>
          <w:p>
            <w:pPr>
              <w:ind w:left="40"/>
              <w:spacing w:after="0"/>
              <w:rPr>
                <w:sz w:val="20"/>
                <w:szCs w:val="20"/>
                <w:color w:val="auto"/>
              </w:rPr>
            </w:pPr>
            <w:r>
              <w:rPr>
                <w:rFonts w:ascii="Arial" w:cs="Arial" w:eastAsia="Arial" w:hAnsi="Arial"/>
                <w:sz w:val="18"/>
                <w:szCs w:val="18"/>
                <w:color w:val="auto"/>
              </w:rPr>
              <w:t>Vehicles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33,239</w:t>
            </w:r>
          </w:p>
        </w:tc>
      </w:tr>
      <w:tr>
        <w:trPr>
          <w:trHeight w:val="27"/>
        </w:trPr>
        <w:tc>
          <w:tcPr>
            <w:tcW w:w="4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before accumulated depreciation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575,508</w:t>
            </w:r>
          </w:p>
        </w:tc>
      </w:tr>
      <w:tr>
        <w:trPr>
          <w:trHeight w:val="216"/>
        </w:trPr>
        <w:tc>
          <w:tcPr>
            <w:tcW w:w="41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(508,878)</w:t>
            </w:r>
          </w:p>
        </w:tc>
        <w:tc>
          <w:tcPr>
            <w:tcW w:w="1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(429,876)</w:t>
            </w:r>
          </w:p>
        </w:tc>
      </w:tr>
      <w:tr>
        <w:trPr>
          <w:trHeight w:val="27"/>
        </w:trPr>
        <w:tc>
          <w:tcPr>
            <w:tcW w:w="4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954,068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145,632</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and amortization expense for property and equipment amounted to $79,002 and $51,532 for the year ended December 31, 2013 and 2012, respectively.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acquired certain intangible assets pursuant to the acquisition of Artisan Specialty Foods and the acquisition of certain assets of The Haley Group (see note 2). The following is the net book value of these assets: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December 31, 2013</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Amortization</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20"/>
                <w:szCs w:val="20"/>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217,000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Non-Compete Agreement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(91,500)</w:t>
            </w: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152,500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(167,703)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366,942</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151,000</w:t>
            </w: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1,146,645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(259,203)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887,442</w:t>
            </w:r>
          </w:p>
        </w:tc>
      </w:tr>
      <w:tr>
        <w:trPr>
          <w:trHeight w:val="20"/>
        </w:trPr>
        <w:tc>
          <w:tcPr>
            <w:tcW w:w="2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December 31, 2012</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Amortization</w:t>
            </w:r>
          </w:p>
        </w:tc>
        <w:tc>
          <w:tcPr>
            <w:tcW w:w="34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Net</w:t>
            </w:r>
          </w:p>
        </w:tc>
      </w:tr>
      <w:tr>
        <w:trPr>
          <w:trHeight w:val="216"/>
        </w:trPr>
        <w:tc>
          <w:tcPr>
            <w:tcW w:w="2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217,000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Non-Compete Agreement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(30,500)</w:t>
            </w: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213,500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(44,823)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489,822</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151,000</w:t>
            </w: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8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1,146,645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1,071,322</w:t>
            </w:r>
          </w:p>
        </w:tc>
        <w:tc>
          <w:tcPr>
            <w:tcW w:w="120" w:type="dxa"/>
            <w:vAlign w:val="bottom"/>
            <w:shd w:val="clear" w:color="auto" w:fill="CCEEFF"/>
          </w:tcPr>
          <w:p>
            <w:pPr>
              <w:spacing w:after="0"/>
              <w:rPr>
                <w:sz w:val="20"/>
                <w:szCs w:val="20"/>
                <w:color w:val="auto"/>
              </w:rPr>
            </w:pPr>
          </w:p>
        </w:tc>
      </w:tr>
      <w:tr>
        <w:trPr>
          <w:trHeight w:val="20"/>
        </w:trPr>
        <w:tc>
          <w:tcPr>
            <w:tcW w:w="2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charged to operations for the year ended December 31, 2013 and 2012 was $183,880 and $73,323,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Amortization of finite life intangible assets as of December 31, 2013 is as follows: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trade name is not considered a finite-lived asset, and is not being amortized. The non-compete agreement is being amortized over a period of 48 months. The customer relationships acquired in the Artisan and Haley transactions are being amortized over a period of 60 and 36 months, respectively.</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detailed in ASC 350, the Company tests for goodwill impairment in the fourth quarter of each year and whenever events or changes in circumstances indicate that the carrying amount of the asset exceeds its fair value and may not be recoverable. As detailed in ASC 350-20-35-3A, in performing its testing for goodwill impairment, management has completed a qualitative analysis to determine whether it was more likely than not that the fair value of a reporting unit is less than its carrying amount, including goodwill. To complete this review, management followed the steps in ASC 350-20-35-3C to evaluate the fair value of goodwill and considered all known events and circumstances that might trigger an impairment of goodwill. The analysis completed in 2013 and 2012, determined that there was no impairment to goodwill assets.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7. ACCOUNTS PAYABLE AND ACCRUED LIABILITIES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w w:val="94"/>
              </w:rPr>
              <w:t>Accounts payable and accrued liabilities at December 31, 2013 and 2012 are as follows: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4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1,325,490</w:t>
            </w:r>
          </w:p>
        </w:tc>
        <w:tc>
          <w:tcPr>
            <w:tcW w:w="120" w:type="dxa"/>
            <w:vAlign w:val="bottom"/>
            <w:shd w:val="clear" w:color="auto" w:fill="CCEEFF"/>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Accrued payroll and commissions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32,403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51,282</w:t>
            </w:r>
          </w:p>
        </w:tc>
      </w:tr>
      <w:tr>
        <w:trPr>
          <w:trHeight w:val="257"/>
        </w:trPr>
        <w:tc>
          <w:tcPr>
            <w:tcW w:w="1440" w:type="dxa"/>
            <w:vAlign w:val="bottom"/>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1,285,149</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1,376,772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and 2012, accrued liabilities to related parties consisted of accrued payroll and payroll related benefits.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INTEREST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Accrued interest on the Company’s convertible notes payable is convertible at the option of the note holders into the Company’s common stock at a price of $0.25 share. There is a beneficial conversion feature embedded in the convertible accrued interest, which can be exercised at any time by the note holders. Through December 27, 2012, the Company had immediately charged the value of this beneficial conversion feature of convertible accrued interest to operations. At December 27, 2012, the Company entered into the 2012 Note Extension Agreements, the terms of which brought about a change in the Company’s accounting for its convertible equity instruments from the liability method to the equity method.</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twelve months ended December 31, 2013 and 2012, the amounts of $0 and $87,736, respectively, were credited to additional paid-in capital as a discount on convertible interest. The aggregate amount of discounts on convertible interest charged to operations during the twelve months ended December 31, 2013 and 2012 was $0 and $87,520, respectively.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2013, convertible accrued interest was $720,189 (including $48,708 to a related party), which is convertible into 2,880,756 shares of common stock. During the twelve months ended December 31, 2013, the Company paid cash for interest in the aggregate amount of $48,278 and $35,327, and converted an additional $118,594 of accrued interest into an aggregate of 332,282 shares of common stock.</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2012, convertible accrued interest was $759,053 (including $39,866 to a related party) which was convertible into 2,916,614 shares of common stock. During the twelve months ended December 31, 2012, the Company did not pay cash or convert any shares of common stock in settlement of accrued interest charges.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PAYABLE AND NOTES PAYABLE TO RELATED 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Secured Convertible note payable to Alpha Capital Anstalt (f/k/a/ Alpha Capital Aktiengesselschaft) (“Alpha</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Capital”), originally dated February 25, 2005 and due May 15, 2014. The note contains a cross default provision,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and is secured by a majority of the Company’s assets. This note bears interest at the rate of 5% per annum. The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note and accrued interest are convertible into common stock of the Company at a conversion price of $0.25 per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share. This note was included in the 2012 Notes Payable Extension Agreement and the 2013 Notes Payable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Extension Agreement (as defined below).  During the twelve months ended December 31, 2013, principal and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0"/>
              </w:rPr>
              <w:t>accrued interest in the amounts of $124,000 and $89,641, respectively,</w:t>
            </w:r>
          </w:p>
        </w:tc>
        <w:tc>
          <w:tcPr>
            <w:tcW w:w="3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were converted into 496,000 and 358,565</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respectively.</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Convertible note payable to Alpha Capital due May 15, 2014.  This note bears interest at the rate of 5% per</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annum. This note is unsecured. The note and accrued interest are convertible into common stock of the Company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a conversion price of $0.25 per share.   This note was included in the 2012 Notes Payable Extension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Agreement and the 2013 Notes Payable Extension Agreement.</w:t>
            </w:r>
          </w:p>
        </w:tc>
        <w:tc>
          <w:tcPr>
            <w:tcW w:w="3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21,478</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Convertible note payable to Osher Capital Partners LLC due May 15, 2014. This note bears interest at the rate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of 5% per annum. This note is unsecured. The note and accrued interest are convertible into common stock of the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Company at a conversion price of $0.25 per share.  This note was included in the 2012 Notes Payable Extension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Agreement and the 2013 Notes Payable Extension Agreement.</w:t>
            </w:r>
          </w:p>
        </w:tc>
        <w:tc>
          <w:tcPr>
            <w:tcW w:w="3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Convertible note payable to Assameka Capital Inc. due May 15, 2014.  This note bears interest at the rate of 5%</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per annum.  This note is unsecured. The note and accrued interest are convertible into common stock of the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Company at a conversion price of $0.25 per share.  This note was included in the 2012 Notes Payable Extension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Agreement and the 2013 Notes Payable Extension Agreement.</w:t>
            </w:r>
          </w:p>
        </w:tc>
        <w:tc>
          <w:tcPr>
            <w:tcW w:w="3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Convertible note payable to Alpha Capital due May 15, 2014.  This note bears interest at the rate of 5% per</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annum. This note contains a cross-default provision, and is secured by a majority of the Company’s assets. The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note and accrued interest are convertible into common stock of the Company at a conversion price of $0.25 per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share.  This note was included in the 2012 Notes Payable Extension Agreement and the 2013 Notes Payable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Extension Agreement.</w:t>
            </w:r>
          </w:p>
        </w:tc>
        <w:tc>
          <w:tcPr>
            <w:tcW w:w="3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22,609</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200" w:type="dxa"/>
            <w:vAlign w:val="bottom"/>
          </w:tcPr>
          <w:p>
            <w:pPr>
              <w:jc w:val="right"/>
              <w:ind w:right="24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24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6"/>
              </w:rPr>
              <w:t>Convertible note payable to Osher Capital Partners LLC due May 15, 2014. This note bears interest at the rate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of 5% per annum.  This note contains a cross-default provision, and is secured by a majority 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assets. The note and accrued interest are convertible into common stock of the Company at a conversion price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$0.25 per share.  This note was included in the 2012 Notes Payable Extension Agreement and the 2013 Notes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Payable Extension Agreement.</w:t>
            </w:r>
          </w:p>
        </w:tc>
        <w:tc>
          <w:tcPr>
            <w:tcW w:w="43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5"/>
              </w:rPr>
              <w:t>Convertible note payable to Assameka Capital Inc. due May 15, 2014. This note bears interest at the rate of 5%</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per annum.  This note contains a cross-default provision, and is secured by a majority 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assets. The note and accrued interest are convertible into common stock of the Company at a conversion price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$0.25 per share.  This note was included in the 2012 Notes Payable Extension Agreement and the 2013 Notes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Payable Extension Agreement .</w:t>
            </w:r>
          </w:p>
        </w:tc>
        <w:tc>
          <w:tcPr>
            <w:tcW w:w="4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Convertible note payable to Huo Hua due May 15, 2014. This note bears interest at the rate of 5% per</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annum. This note is unsecured. The note and accrued interest are convertible into common stock of the Company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at a conversion price of $0.25 per share and the 2013 Notes Payable Extension Agreement.</w:t>
            </w: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Convertible secured note payable</w:t>
            </w:r>
          </w:p>
        </w:tc>
        <w:tc>
          <w:tcPr>
            <w:tcW w:w="600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w w:val="96"/>
              </w:rPr>
              <w:t>to Alpha Capital due May 15, 2014. This note bears interest at the rate of 5%</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per annum,  This note contains</w:t>
            </w:r>
          </w:p>
        </w:tc>
        <w:tc>
          <w:tcPr>
            <w:tcW w:w="4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a cross-default provision, and is secured by a majority</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assets. The note and accrued interest are convertible into common stock of the Company at a conversion price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$0.25 per share.  This note was included in the 2012 Notes Payable Extension Agreement and the 2013 Notes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Payable Extension Agreement.</w:t>
            </w:r>
          </w:p>
        </w:tc>
        <w:tc>
          <w:tcPr>
            <w:tcW w:w="4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5"/>
              </w:rPr>
              <w:t>Convertible secured note payable to Alpha Capital due May 15, 2014. This note bears interest at the rate of 5%</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per annum.  This note contains a cross-default provision, and is secured by a majority 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assets. The note and accrued interest are convertible into common stock of the Company at a conversion price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$0.25 per share.  This note was included in the 2012 Notes Payable Extension Agreement and the 2013 Notes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Payable Extension Agreement.</w:t>
            </w:r>
          </w:p>
        </w:tc>
        <w:tc>
          <w:tcPr>
            <w:tcW w:w="4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15,287</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5"/>
              </w:rPr>
              <w:t>Convertible secured note payable to Osher Capital Partners LLC due May 15, 2014. This note bears interest at</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the rate of 5% per annum. This note contains a cross-default provision, and is secured by a majority of the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Company’s assets.   The note and accrued interest are convertible into common stock of the Company at a</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conversion price of $0.25 per share.  This note was included in the 2012 Notes Payable Extension Agreement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 the 2013 Notes Payable Extension Agreement.</w:t>
            </w: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2"/>
              </w:rPr>
              <w:t>Convertible secured note payable to Assameka Capital, Inc. due May 15, 2014. This note bears interest at the rate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of 5% per annum.  This note contains a cross-default provision, and is secured by a majority 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assets. The note and accrued interest are convertible into common stock of the Company at a conversion price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$0.25 per share.  This note was included in the 2012 Notes Payable Extension Agreement and the 2013 Notes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Payable Extension Agreement.</w:t>
            </w:r>
          </w:p>
        </w:tc>
        <w:tc>
          <w:tcPr>
            <w:tcW w:w="4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5"/>
              </w:rPr>
              <w:t>Convertible secured note payable to Asher Brand due May 15, 2014.  This note bears interest at the rate of 5%</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per annum.  This note contains a cross-default provision, and is secured by a majority 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assets. The note and accrued interest are convertible into common stock of the Company at a conversion price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$0.25 per share.  This note was included in the 2012 Notes Payable Extension Agreement and the 2013 Notes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Payable Extension Agreement.  During the twelve months ended December 31, 2013, principal and accrued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interest  in the amounts of $5,000 and $7,471, respectively, were converted into 20,000 and 29,884 shares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respectively.</w:t>
            </w:r>
          </w:p>
        </w:tc>
        <w:tc>
          <w:tcPr>
            <w:tcW w:w="4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tcPr>
          <w:p>
            <w:pPr>
              <w:jc w:val="right"/>
              <w:ind w:right="930"/>
              <w:spacing w:after="0"/>
              <w:rPr>
                <w:sz w:val="20"/>
                <w:szCs w:val="20"/>
                <w:color w:val="auto"/>
              </w:rPr>
            </w:pPr>
            <w:r>
              <w:rPr>
                <w:rFonts w:ascii="Arial" w:cs="Arial" w:eastAsia="Arial" w:hAnsi="Arial"/>
                <w:sz w:val="18"/>
                <w:szCs w:val="18"/>
                <w:color w:val="auto"/>
              </w:rPr>
              <w:t>32</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83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Convertible secured note payable to Lane Ventures due May 15, 2014. This note bears interest at the rate of 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per annum.  This note contains a cross-default provision, and is secured by a majority of the Company’s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assets. The note and accrued interest are convertible into common stock of the Company at a conversion price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$0.25 per share.  This note was included in the 2012 Notes Payable Extension Agreement and the 2013 Notes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Extension Agreement.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During the twelve months ended December 31, 2013, principal and accrued interest in the amounts of $6,000 and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$4,383, respectively, were converted into 24,000 and 17,533 shares of common stock, respectively.</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Convertible secured note payable Alpha Capital due May 15, 2014. This note bears interest at the rate of 5% per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annum. This note contains a cross-default provision, and is secured by a majority of the Company’s assets. The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note and accrued interest are convertible into common stock of the Company at a conversion price of $0.25 per</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  This note was included in the 2012 Notes Payable Extension Agreement and the 2013 Notes Payable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Extension Agreement.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Convertible secured note payable Alpha Capital due May 15, 2014. This note bears interest at the rate of 5% per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annum. This note contains a cross-default provision, and is secured by a majority of the Company’s assets. The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note and accrued interest are convertible into common stock of the Company at a conversion price of $0.25 per</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  This note was included in the 2012 Notes Payable Extension Agreement and the 2013 Notes Payable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Extension Agreement.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16,957</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secured note payable to Osher Capital Partners LLC due May 15, 2014. This note bears interest at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the rate of 5% per annum.  This note contains a cross-default provision, and is secured by a majority of the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Company’s assets.  The note and accrued interest are convertible into common stock of the Company at 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conversion price of $0.25 per share.  This note was included in the 2012 Notes Payable Extension Agreement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the 2013 Notes Payable Extension Agreement.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Convertible secured note payable to Assameka Capital, Inc. due May 15, 2014. This note bears interest at the rate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of 5% per annum.  This note contains a cross-default provision, and is secured by a majority of the Company’s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assets. The note and accrued interest are convertible into common stock of the Company at a conversion price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$0.25 per share.  This note was included in the 2012 Notes Payable Extension Agreement and the 2013 Notes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Extension Agreement.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Twenty-nine convertible notes payable in the amount of $4,500 each to Sam Klepfish, the Company’s CEO and a</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related party, dated the first of the month beginning on November 1, 2006, issued pursuant to the Company’s then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employment agreement with Mr. Klepfish, which provided that the amount of $4,500 in salary is accrued each</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month to a note payable. These notes are unsecured. These notes bear interest at the rate of 8% per annum and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have no due date. These notes and accrued interest are convertible into common stock of the Company at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conversion price of $0.25 per share.</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110,500</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secured note payable to Alpha Capital due May 15, 2014. This note bears interest at the rate of 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annum. This note contains a cross-default provision, and is secured by a majority of the Company’s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assets.  The note and accrued interest are convertible into common stock of the Company at a conversion price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$0.25 per share.  This note was included in the 2012 Notes Payable Extension Agreement and the 2013 Notes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Extension Agreement.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secured note payable to Alpha Capital due May 15, 2014. This note bears interest at the rate of 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per annum.  This note contains a cross-default provision, and is secured by a majority of the Company’s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assets. The note and accrued interest are convertible into common stock of the Company at a conversion price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$0.25 per share.  This note was included in the 2012 Notes Payable Extension Agreement and the 2013 Notes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Extension Agreement.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608"/>
        </w:trPr>
        <w:tc>
          <w:tcPr>
            <w:tcW w:w="8300" w:type="dxa"/>
            <w:vAlign w:val="bottom"/>
            <w:gridSpan w:val="3"/>
          </w:tcPr>
          <w:p>
            <w:pPr>
              <w:jc w:val="right"/>
              <w:ind w:right="250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9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4"/>
              </w:rPr>
              <w:t>Convertible secured note payable to Alpha Capital, due May 15, 2014. This note bears interest at the rate of 5%</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 annum.  This note contains a cross-default provision, and is secured by a majority 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assets. The note and accrued interest are convertible into common stock of the Company at a conversion price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$0.25 per share.  This note was included in the 2012 Notes Payable Extension Agreement and the 2013 Notes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Extension Agreement.</w:t>
            </w:r>
          </w:p>
        </w:tc>
        <w:tc>
          <w:tcPr>
            <w:tcW w:w="4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5"/>
              </w:rPr>
              <w:t>Convertible secured note payable to Osher Capital Partners LLC due May 15, 2014. This note bears interest at</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the rate of 5% per annum.  This note contains a cross-default provision, and is secured by a majority of the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Company’s assets.  The note and accrued interest are convertible into common stock of the Company at a</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conversion price of $0.25 per share.  This note was included in the 2012 Notes Payable Extension Agreement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and the 2013 Notes Payable Extension Agreement.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2"/>
              </w:rPr>
              <w:t>Convertible secured note payable to Assameka Capital, Inc. due May 15, 2014. This note bears interest at the rate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of 5% per annum. This note contains a cross-default provision, and is secured by a majority 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assets. The note and accrued interest are convertible into common stock of the Company at a conversion price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$0.25 per share.  This note was included in the 2012 Notes Payable Extension Agreement and the 2013 Notes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Payable Extension Agreement. During the twelve months ended December 31, 2013, principal and interest in the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amounts of $4,400 and $3,600, respectively, were converted into 17,600 and 14,400 shares of common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respectively.</w:t>
            </w:r>
          </w:p>
        </w:tc>
        <w:tc>
          <w:tcPr>
            <w:tcW w:w="4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9"/>
              </w:rPr>
              <w:t>Convertible secured note payable to Momona Capital due May 15, 2014. This note contains a cross default</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  This note contains a cross-default provision, and is secured by a majority 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assets. This note bears interest at the rate of 5% per annum. The note and accrued interest are convertible into</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common stock of the Company at a conversion price of $0.25 per share.  This note was included in the 2012</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Notes Payable Extension Agreement and the 2013 Notes Payable Extension Agreement.  During the twelve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months ended December 31, 2013,  principal and accrued interest in the amounts of $25,310 and $9,652,</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respectively, were converted into 101,240 and 38,608 shares of common stock, respectively.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4"/>
              </w:rPr>
              <w:t>Convertible secured note payable to Lane Ventures due May 15, 2014. This note bears interest at the rate of 5%</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 annum.  This note contains a cross-default provision, and is secured by a majority of the Company’s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assets. The note and accrued interest are convertible into common stock of the Company at a conversion price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$0.25 per share.  This note was included in the 2012 Notes Payable Extension Agreement and the 2013 Notes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Payable Extension Agreement. During the twelve months ended December 31, 2013, principal and accrued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interest in the amounts of $10,124 and $3,847,</w:t>
            </w:r>
          </w:p>
        </w:tc>
        <w:tc>
          <w:tcPr>
            <w:tcW w:w="4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respectively, were converted into 40,496 and 15,388 shares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respectively.</w:t>
            </w:r>
          </w:p>
        </w:tc>
        <w:tc>
          <w:tcPr>
            <w:tcW w:w="4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4"/>
              </w:rPr>
              <w:t>Secured convertible promissory note payable for the acquisition of Artisan Specialty Foods, Inc. to Alpha Capital,</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dated May 11, 2012 in the face amount of $1,200,000 at a purchase price of $1,080,000. The note carries simple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interest at an annual rate of 4.5% and is due in full by April 2015.  The note is convertible into the registrant's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common stock at a fixed conversion price of $1.00 per share.  Principal and interest in the aggregate amount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$39,163 are payable on a monthly basis beginning in September 2012. The note allows for prepayments at any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time. The note also includes cross-default provisions; is secured by all of the registrant's and its subsidiaries'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assets; and is guaranteed by each of the Company’s subsidiaries. Interest expense in the amount of $31,472 and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$30,921 and was accrued on this note during the years ended December 31, 2013 and 2012, respectively. During</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the twelve months ended December 31, 2013, the Company paid this note in full and also paid interest in the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$31,472.</w:t>
            </w:r>
          </w:p>
        </w:tc>
        <w:tc>
          <w:tcPr>
            <w:tcW w:w="4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7"/>
              </w:rPr>
              <w:t>Secured vehicle lease payable at an effective interest rate of 9.96% for purchase of truck, payable in monthly</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installments (including principal and interest) of $614 through January 2015. During the twelve months ended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December 31, 2013, the Company made payments in the aggregate amount of $7,368 on this note, consisting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$6,274 of principal and $1,094 of interest.</w:t>
            </w:r>
          </w:p>
        </w:tc>
        <w:tc>
          <w:tcPr>
            <w:tcW w:w="4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13,811</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tcPr>
          <w:p>
            <w:pPr>
              <w:jc w:val="right"/>
              <w:ind w:right="247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83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Secured vehicle lease payable at an effective interest rate of 8.26% for purchase of truck,  payable in monthly</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installments (including principal and interest) of $519 through June 2015. During the twelve months ended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December 31, 2013, the Company made payments in the aggregate amount of $6,232 on this note, consisting of</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$5,269 of principal and $962 of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Term loan from Fifth Third Bank in the original amount of $1,000,000; $660,439 of this amount was used to pay</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a note payable; $339,561 was used for working capital. This loan is secured by first priority perfected security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interest in all personal property of the Company. bears interest at the rate of Libor plus 4.75%, with monthly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payments in the amount of $55,556, with a maturity date of May 26, 2015. During the year ended December 31,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2013, the Company made payments of principal and interest in the amounts of $55,556 and $2,639, respectively</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944,444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Secured mortgage note payable from Fifth Third Bank for the acquisition of land and building in Bonita Springs,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Florida in the amount of $546,000. Principal payments of $4,550 and interest at the rate of Libor plus 3% are due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monthly. The balance of the principal amount will be due March 2018.  During the twelve months ended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December 31, 2013, the Company made payments in the aggregate amount of $59,667 on this note, consisting of</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$45,500 of principal and $14,167 of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3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2,359,893</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2,175,593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Discount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(371,812)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(1,868,482)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1,988,081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307,111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For the Year Ended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Discount on Notes Payable amortized to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2,322,909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838,339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20"/>
        <w:spacing w:after="0" w:line="277" w:lineRule="auto"/>
        <w:rPr>
          <w:sz w:val="20"/>
          <w:szCs w:val="20"/>
          <w:color w:val="auto"/>
        </w:rPr>
      </w:pPr>
      <w:r>
        <w:rPr>
          <w:rFonts w:ascii="Arial" w:cs="Arial" w:eastAsia="Arial" w:hAnsi="Arial"/>
          <w:sz w:val="18"/>
          <w:szCs w:val="18"/>
          <w:color w:val="auto"/>
        </w:rPr>
        <w:t>At December 31, 2013 and 2012, the Company had unamortized discounts to notes payable in the aggregate amount of $371,812 and $1,868,482,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long-term notes payable as of December 31, 2013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twelve months ended December 31,</w:t>
      </w:r>
    </w:p>
    <w:p>
      <w:pPr>
        <w:spacing w:after="0" w:line="267"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1,632,564</w:t>
            </w:r>
          </w:p>
        </w:tc>
        <w:tc>
          <w:tcPr>
            <w:tcW w:w="12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336,029</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54,600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54,600</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54,600</w:t>
            </w: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227,500</w:t>
            </w:r>
          </w:p>
        </w:tc>
      </w:tr>
      <w:tr>
        <w:trPr>
          <w:trHeight w:val="257"/>
        </w:trPr>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2,359,893</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Beneficial Conversion Features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calculates the fair value of any beneficial conversion features embedded in its convertible notes via the Black-Scholes valuation method. The Company also calculates the fair value of any detachable warrants offered with its convertible notes via the Black-Scholes valuation method. The instruments were considered discounts to the notes, to the extent the aggregate value of the warrants and conversion features did not exceed the face value of the notes. These discounts were amortized to interest expense via the effective interest method over the term of the notes. The fair value of these instruments was charged to interest expense to the extent that the value of these instruments exceeds the face value of the notes.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September 2005 through December 26, 2012, the Company accounted for conversion options embedded in convertible notes in accordance with FASB ASC 815-10-05. ASC 815-10-05 generally requires companies to bifurcate conversion options embedded in convertible notes from their host instruments and to account for them as free standing derivative financial instruments in accordance with ASC 815-40-05.</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December 27, 2012, the Company entered into the 2012 Notes Payable Extension Agreement with certain convertible note holders regarding twenty-five convertible notes in the aggregate amount of $2,037,249 in principal and $719,187 in accrued interest. Pursuant to the 2012 Notes Payable Extension Agreement, the maturity date of each note and accrued interest was extended to February 1, 2014 (unless the original maturity date was beyond the extended date, in which case the original maturity date will not change); the expiration date of each warrant associated with each of the notes was extended to August 1, 2015 (unless the original expiration date of each warrant was beyond August 1, 2015, in which case the original expiration date will not change); the minimum conversion price of the note and accrued interest, in the case of any adjustment to such price, was set to be $0.05 per share. The Company also agreed that for as long as the convertible notes are held by the existing note holders, it will not issue any common stock or other securities convertible into or exercisable for shares of common stock at a price of less than $0.05 per share. Accordingly, the conversion option and warrants were reclassified from liability to equity since the conversion and exercise prices were fixed and all other conditions were met to classify the conversion feature and warrants as equity.</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revalued its derivative equity instruments at December 27, 2012 using the Black-Scholes valuation method, and recorded losses on revaluation in the amount of $478,822 for the conversion options, $566,063 for the warrants, and $103,248 for stock options. This resulted in liabilities in the amount of $2,088,475 for the value of the warrants, $1,708,528 for the value of the conversion options, and $411,792 for the stock options. The value of the warrants and conversion options (a total of $3,797,001) was eliminated, and recorded as a gain on extinguishment of debt. The value of the stock options of $411,792 was eliminated, and recorded as a charge to additional paid-in capital.</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debt extinguishment accounting, the Company charged to interest expense the unamortized amount of the discount on the related convertible notes at December 27, 2012 in the amount of $824,286. Prior to December 27, 2012, the Company had amortized $13,899 of the discount. At December 27, 2012, the Company recorded a new discount on the convertible notes in the aggregate amount of $1,918,993, which was charged to additional paid-in capital.</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revalued the conversion options at each reporting period, and charged any change in value to operations. During the twelve months ended December 31, 2013 and 2012, the Company recorded an aggregate loss of $0 and $281,024, respectively, due to the change in value of the conversion option liability.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convertible notes payable are satisfied by payment or by conversion to equity, the Company revalues the related conversion option liability at the time of the payment or conversion. The conversion option liability is then relieved by this amount, which is charged to additional paid-in capital. During the twelve months ended December 31, 2013 and 2012, conversion option liabilities in the amounts of $0 and $81,921, respectively, were transferred from liability to equity due to the conversion or payment of the related convertible notes payable.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2013 Notes Payable Extension Agreement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August 22, 2013, the Company entered into agreements (the “2013 Notes Payable Extension Agreement”) with certain convertible notes holders regarding twenty-five convertible notes in the aggregate amount of $912,982 in principal and $744,246 in accrued interest. Pursuant to the 2013 Notes Payable Extension Agreement, the maturity date of each note and accrued interest was extended to May 15, 2014; the interest rate was changed to 5%; and the expiration of each warrant associated with each of the notes was extended to February 1, 2016 or February 1, 2017.</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debt extinguishment accounting, the Company charged to interest expense the unamortized amount of the discount on the related convertible notes at August 22, 2013 in the amount of $491,606. Prior to August 22, 2013, the Company had amortized $637,663 of the discount. At August 22, 2013, the Company recorded a new discount on the convertible notes which was attributable to the conversion feature and related warrants in the aggregate amount of $826,238, which was charged to additional paid-in capital. The discount will be amortized over the term of the related notes.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year ended December 31, 2012, the Company recorded the following discounts on a note payable in the principle amount of $1,200,000 related to the acquisition of Artisan Specialty Foods, Inc.: (a) an original issue discount (“OID”) in the amount of $120,000, and (b) a discount related to an embedded conversion feature of the note and warrants issued with the note in the aggregate amount of $836,441. During the twelve months ended December 31, 2012, the Company amortized to interest expense a total of $13,899 of these discounts. On November 26, 2013, the Company entered into a loan agreement with Fifth Third Bank (the “November 2013 Bank Loans”) whereby Fifth Third Bank provided the Company with two credit facilities: (a)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and Term Bank Facility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10, 2013, the registrant closed a financing transaction with Fifth Third Bank that provides a $1.0 million revolving credit facility and a $1.0 million term credit facility. Both facilities are secured by the Company’s and its subsidiaries’ tangible and intangible assets pursuant to the terms of a Security Agreement between us, our subsidiaries and Fifth Third Bank dated November 26, 2013.</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revolving credit facility carries an interest rate of 3.25% above LIBOR and matures on November 26, 2015. The term credit facility carries an interest rate of 4.75% above LIBOR and matures on May 26, 2015. Both facilities are subject to certain financial covenants, dated with an effective date of November 26, 2013.</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December 31, 2013, the Company has utilized the net proceeds of the $1,000,000 term loan for the following purposes: $660,439 to pay the balance of a note payable to Alpha Capital representing debt acquired to finance the acquisition of Artisan Specialty Foods, Inc.; and $339,561 for working capital. At the time the Company paid the Alpha Capital note, there were remaining discounts on the note in the aggregate amount of $597,774 which were charged to interest expense during the twelve months ended December 31, 2013. As of December 31, 2013, the term loan balance outstanding was $944,444.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 Company did not have any borrowings on the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certain key information regarding our conversion option valuation assumptions at December 31, 2013 and 2012:</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Number of conversion options outstanding</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3,594,592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5,368,195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Value at December 31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Number of conversion options issued during the period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1,200,000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Value of conversion options issued during the period</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263,664</w:t>
            </w:r>
          </w:p>
        </w:tc>
      </w:tr>
      <w:tr>
        <w:trPr>
          <w:trHeight w:val="202"/>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conversion options exercised or underlying</w:t>
            </w: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paid during the period</w:t>
            </w: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1,773,603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3,419,284</w:t>
            </w: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rPr>
              <w:t>Value of conversion options exercised or underlying</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600" w:type="dxa"/>
            <w:vAlign w:val="bottom"/>
          </w:tcPr>
          <w:p>
            <w:pPr>
              <w:ind w:left="80"/>
              <w:spacing w:after="0"/>
              <w:rPr>
                <w:sz w:val="20"/>
                <w:szCs w:val="20"/>
                <w:color w:val="auto"/>
              </w:rPr>
            </w:pPr>
            <w:r>
              <w:rPr>
                <w:rFonts w:ascii="Arial" w:cs="Arial" w:eastAsia="Arial" w:hAnsi="Arial"/>
                <w:sz w:val="18"/>
                <w:szCs w:val="18"/>
                <w:color w:val="auto"/>
              </w:rPr>
              <w:t>notes paid during the period</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81,921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Revaluation loss (gain) during the period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281,024</w:t>
            </w:r>
          </w:p>
        </w:tc>
      </w:tr>
      <w:tr>
        <w:trPr>
          <w:trHeight w:val="216"/>
        </w:trPr>
        <w:tc>
          <w:tcPr>
            <w:tcW w:w="4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Black-Scholes model variables: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Volatility</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112.4%</w:t>
            </w:r>
          </w:p>
        </w:tc>
        <w:tc>
          <w:tcPr>
            <w:tcW w:w="280" w:type="dxa"/>
            <w:vAlign w:val="bottom"/>
          </w:tcPr>
          <w:p>
            <w:pPr>
              <w:ind w:left="120"/>
              <w:spacing w:after="0"/>
              <w:rPr>
                <w:sz w:val="20"/>
                <w:szCs w:val="20"/>
                <w:color w:val="auto"/>
              </w:rPr>
            </w:pPr>
            <w:r>
              <w:rPr>
                <w:rFonts w:ascii="Arial" w:cs="Arial" w:eastAsia="Arial" w:hAnsi="Arial"/>
                <w:sz w:val="18"/>
                <w:szCs w:val="18"/>
                <w:color w:val="auto"/>
                <w:w w:val="92"/>
              </w:rPr>
              <w:t>to</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214.3%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Pr>
          <w:p>
            <w:pPr>
              <w:ind w:left="120"/>
              <w:spacing w:after="0"/>
              <w:rPr>
                <w:sz w:val="20"/>
                <w:szCs w:val="20"/>
                <w:color w:val="auto"/>
              </w:rPr>
            </w:pPr>
            <w:r>
              <w:rPr>
                <w:rFonts w:ascii="Arial" w:cs="Arial" w:eastAsia="Arial" w:hAnsi="Arial"/>
                <w:sz w:val="18"/>
                <w:szCs w:val="18"/>
                <w:color w:val="auto"/>
                <w:w w:val="92"/>
              </w:rPr>
              <w:t>to</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Term (years)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to</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terms of an employment agreement, the Company made cash payments to its Chief Executive Officer in the amount of $90,500 for previously-accrued bonuses earned in 2012 . Also pursuant to the terms of his employment agreement, the Company issued options to its Chief Executive Officer as follows: Four year options to purchase 50,000 shares of the Company’s common stock at a price of $0.40 per share which vest on December 31, 2014; four year options to purchase 50,000 shares of the Company’s common stock at a price of $0.40 per share which vest on December 31, 2015; five year options to purchase 100,000 shares of the Company’s common stock at a price of $0.57 per share which vest on December 31, 2014; five year options to purchase 62,500 shares of the Company’s common stock at a price of $1.60 per share which vest on December 31, 2013; and five year options to purchase 62,500 shares of the Company’s common stock at a price of $1.60 per share which vest on December 31, 2014. The Company also accrued the amount of $27,937 for the value of Restricted Stock Units (“RSU’s”) due to its Chief Executive Officer under the terms of his employment agreement.</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terms of an employment agreement, the Company made cash payments to its President in the amount of $90,500 for previously-accrued bonuses earned in 2012. Also pursuant to the terms of his employment agreement, the Company issued options to its President as follows: Four year options to purchase 50,000 shares of the Company’s common stock at a price of $0.40 per share which vest on December 31, 2014; four year options to purchase 50,000 shares of the Company’s common stock at a price of $0.40 per share which vest on December 31, 2015; five year options to purchase 100,000 shares of the Company’s common stock at a price of $0.57 per share which vest on December 31, 2014; five year options to purchase 62,500 shares of the Company’s common stock at a price of $1.60 per share which vest on December 31, 2013; and five year options to purchase 62,500 shares of the Company’s common stock at a price of $1.60 per share which vest on December 31, 2014. The Company also issued to Mr. Wiernasz five year options to purchase 100,000 shares of the Company’s common stock at a price of $0.35 per share which options vested immediately.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terms of an employment agreement, the Company made cash payments to Chief Information and Principal Accounting Officer $25,000 for previously-accrued bonuses, Also pursuant to the terms of his employment agreement, the Company issued options to its Chief Information and Principal Accounting Officer as follows: Four year options to purchase 25,000 shares of the Company’s common stock at a price of $0.40 per share which vested on January 1, 2013; four year options to purchase 25,000 shares of the Company’s common stock at a price of $0.40 per share which vest on January 1, 2015; three year options to purchase 25,000 shares of the Company’s common stock at a price of $0.40 per share which vest on January 1, 2016; five year options to purchase 25,000 shares of the Company’s common stock at a price of $0.57 per share which vest on January 1, 2018; five year options to purchase 30,000 shares of the Company’s common stock at a price of $1.60 per share which vest on January 1, 2014; and five year options to purchase 30,000 shares of the Company’s common stock at a price of $1.60 per share which are scheduled to vest on January 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an employment agreement, the Company has accrued a bonus payable to the Company’s Chief Executive Officer in the amount of $90,500. This bonus is recorded on the Company’s balance sheet as a liability to related parties as of December 31, 2012. The Company also made cash payments to the Company’s chief Executive Officer in the amount of $45,250 for previously-accrued bonuses.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an employment agreement, the Company has accrued a bonus payable to the Company’s President in the amount of $90,500. This bonus is recorded on the Company’s balance sheet as a liability to related parties as of December 31, 2012. The Company also made cash payments to the Company’s chief Executive Officer in the amount of $45,250 for previously-accrued bonuses.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accrued a bonus payable to the Company’s Chief Information and Principal Accounting Officer in the amount of $25,000. This bonus is recorded on the Company’s balance sheet as a liability to related parties as of December 31, 2012.</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made a cash payment of $20,000 to its Chief Executive Officer on the principal amount of convertible note. The Company also accrued interest in the amount of $10,356 on this note. This accrued interest is convertible at a rate of $0.25 per share (post reverse-split) into a total of 41,424 shares (post reverse-split) of the Company’s stock.</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the Company issued options to purchase 100,000 shares (post reverse-split) of common stock to each of its five directors (options to purchase an aggregate of 500,000 shares, post reverse-split) and additional options to purchase 100,000 shares of common stock to its President. The aggregate fair value of these options in the amount of $186,299 was charged to operations during the period. On December 31, 2012, the Company issued options to purchase an additional 100,000 shares (post reverse-split) of its common stock to each of its five directors for services rendered during the twelve months ended December 31, 2012 (options to purchase an aggregate of 500,000 shares, post reverse-split). The fair value of these options in the amount of $161,821 was charged to operations during the period.</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7, 2012, we entered into a three-year lease with David and Sherri Vohaska for approximately 18,700 feet of office and warehouse space located at 8121 Ogden Avenue, Lyons, Illinois. The annual rent under the lease is approximately $8,333 per month for the first year, $8,417 per month for the second year, and $8,500 for the third year. David Vohaska is currently an employee of the Company, and prior to the Artisan acquisition was the owner of Artisan.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CONTINGENT LIABILITY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Artisan acquisition, the Company may be obligated to pay up to another $300,000 in the event certain financial milestones are met by April 30, 2014 (see note 3). This obligation had a fair value of $131,000 at the time of the Artisan acquisition. During the twelve months ended December 31, 2013 and 2012, the Company made payments in the amount of $160,933 and $82,930, respectively, and accrued an additional $182,811. At December 31, 2013, the amount of $80,881 is reflected on the Company’s balance sheet as a contingent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result from the temporary differences arising from the use of accelerated depreciation methods for income tax purposes and the straight-line method for financial statement purposes, and an accumulation of net operating loss carryforwards for income tax purposes with a valuation allowance against the carryforwards for book purposes.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Included in deferred tax assets are Federal and State net operating loss carryforwards of approximately $1.4 million, which will expire through 2031.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Due to significant changes in the Company's ownership, the Company's future use of its existing net operating losses may be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for the years ended December 31, 2013 and 2012 consist of the following:</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Current</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w:t>
            </w: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
        </w:trPr>
        <w:tc>
          <w:tcPr>
            <w:tcW w:w="5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(benefit) for income taxes differs from the amount of income tax determined by applying the applicable statutory income tax rate of 39.6% for the December 31, 2013 and 2012 to the loss before taxes as a result of the following differences: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(1,486,257)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2,030,494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Statutory tax rate</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r>
      <w:tr>
        <w:trPr>
          <w:trHeight w:val="27"/>
        </w:trPr>
        <w:tc>
          <w:tcPr>
            <w:tcW w:w="5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tax at statutory rate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(428,220)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804,075</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Temporary differences</w:t>
            </w: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(16,214)</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Permanent difference – meals and entertainment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w:t>
            </w:r>
          </w:p>
        </w:tc>
      </w:tr>
      <w:tr>
        <w:trPr>
          <w:trHeight w:val="202"/>
        </w:trPr>
        <w:tc>
          <w:tcPr>
            <w:tcW w:w="5320" w:type="dxa"/>
            <w:vAlign w:val="bottom"/>
          </w:tcPr>
          <w:p>
            <w:pPr>
              <w:ind w:left="160"/>
              <w:spacing w:after="0" w:line="201" w:lineRule="exact"/>
              <w:rPr>
                <w:sz w:val="20"/>
                <w:szCs w:val="20"/>
                <w:color w:val="auto"/>
              </w:rPr>
            </w:pPr>
            <w:r>
              <w:rPr>
                <w:rFonts w:ascii="Arial" w:cs="Arial" w:eastAsia="Arial" w:hAnsi="Arial"/>
                <w:sz w:val="18"/>
                <w:szCs w:val="18"/>
                <w:color w:val="auto"/>
              </w:rPr>
              <w:t>Permanent differences- non cash compensation, derivatives and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(568,414)</w:t>
            </w: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discount amortization</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1,054,220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223,447</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(589,000)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(223,447)</w:t>
            </w:r>
          </w:p>
        </w:tc>
      </w:tr>
      <w:tr>
        <w:trPr>
          <w:trHeight w:val="216"/>
        </w:trPr>
        <w:tc>
          <w:tcPr>
            <w:tcW w:w="5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
        </w:trPr>
        <w:tc>
          <w:tcPr>
            <w:tcW w:w="5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taxes reflect the tax impact of temporary differences between the amounts of assets and liabilities for financial reporting purposes and such amounts as measured by tax laws and regulations.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include the net tax effects of net operating loss (NOL) carryforwards and the temporary differences between the carrying amounts of assets and liabilities for financial reporting purposes and the amounts used for income tax purposes. As of December 31, 2013 and 2012 significant components of the Company's deferred tax assets are as follows:</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Deferred Tax Assets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529,000</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r>
      <w:tr>
        <w:trPr>
          <w:trHeight w:val="22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w:t>
            </w:r>
          </w:p>
        </w:tc>
      </w:tr>
      <w:tr>
        <w:trPr>
          <w:trHeight w:val="216"/>
        </w:trPr>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551,000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1,140,000</w:t>
            </w:r>
          </w:p>
        </w:tc>
        <w:tc>
          <w:tcPr>
            <w:tcW w:w="140" w:type="dxa"/>
            <w:vAlign w:val="bottom"/>
            <w:tcBorders>
              <w:top w:val="single" w:sz="8" w:color="CCEEFF"/>
            </w:tcBorders>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(1,140,000)</w:t>
            </w:r>
          </w:p>
        </w:tc>
      </w:tr>
      <w:tr>
        <w:trPr>
          <w:trHeight w:val="27"/>
        </w:trPr>
        <w:tc>
          <w:tcPr>
            <w:tcW w:w="54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returns for the previous three years remain open for audit by the respective tax jurisdictions.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Reverse Stock Split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2012, the Company implemented a reverse split of its common stock (the “Reverse Split”) in the ratio of 1-for-50. The number of shares issued and outstanding immediately before the Reverse Split was 293,692,189 and 282,956,546, respectively; the number of shares issued and outstanding immediately after the Reverse Split was 5,873,801 and 5,659,130, respectively. All share and per share data have been retroactively restated to reflect the reverse split.</w:t>
      </w:r>
    </w:p>
    <w:p>
      <w:pPr>
        <w:sectPr>
          <w:pgSz w:w="11900" w:h="16838" w:orient="portrait"/>
          <w:cols w:equalWidth="0" w:num="1">
            <w:col w:w="11420"/>
          </w:cols>
          <w:pgMar w:left="240" w:top="122"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Twelve months ended December 31, 2013: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279,310 shares of common stock for settlement of a note. This issuance of shares was accrued in a prior period, and was carried as common stock subscribed in the Company’s balance sheet at December 31, 2012.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1,173,712 shares of common stock for the conversion of the principal of convertible notes in the aggregate amount or $174,833 and accrued interest in the amount of $118,593, for a total conversion value of $293,426.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255,633 shares of common stock for the cashless exercise of warrants.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Twelve months ended December 31,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150,000 shares of common stock with a value of $37,500 pursuant to the Haley Acquisition Agreement.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committed to issue 26,078 shares of common stock for settlement of a note. The fair value of $7,302 is included in Common Stock Subscribed on the Company’s balance sheet at December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Treasury Stock</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twelve months ended December 31, 2013, the Company purchased 400,000 shares of the Company’s outstanding common stock. The purchase price was $100,000 and the Company recorded the transaction at cost to Treasury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twelve months ended December 31, 2012, the Company did not purchase any outstanding shares of the Company’s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additional 304 shares of common stock which are held in treasury stock at a cost of $99.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extended the term of warrants to purchase a total of 3,080,000 shares of common stock at a price of $0.575 per share and a total of 1,570,000 shares of common stock at a price of $0.55 per share to February 1, 2017; and warrants to purchase a total of 794,000 shares of common stock at a price of $0.25 per share to February 1, 2016. At August 22, 2013, the Company recorded a new discount on the convertible notes which was attributable to the conversion feature and related warrants in the aggregate amount of $826,238, which was charged to additional paid-in capital. The discount will be amortized over the term of the related notes. Also during the twelve months ended December 31, 2013, warrants to purchase a total of 396,871 shares were exercised via cashless conversion. In addition, warrants to purchase 820,000 shares of common stock were cancelled as a result of the early payment of a note.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twelve months ended December 31, 2012, the Company issued warrants to purchase 1,500,000 shares of common stock; the fair value of these warrants was $572,777. The Company also extended the term of warrants to purchase 5,440,000 shares of common stock from April 3, 2012 to April 3, 2015. The fair value of this extension of $842,100 was charged to operations during the twelve months ended December 31, 2012.</w:t>
      </w:r>
    </w:p>
    <w:p>
      <w:pPr>
        <w:spacing w:after="0" w:line="166" w:lineRule="exact"/>
        <w:rPr>
          <w:sz w:val="20"/>
          <w:szCs w:val="20"/>
          <w:color w:val="auto"/>
        </w:rPr>
      </w:pPr>
    </w:p>
    <w:p>
      <w:pPr>
        <w:jc w:val="both"/>
        <w:ind w:right="240" w:firstLine="45"/>
        <w:spacing w:after="0" w:line="342" w:lineRule="auto"/>
        <w:rPr>
          <w:sz w:val="20"/>
          <w:szCs w:val="20"/>
          <w:color w:val="auto"/>
        </w:rPr>
      </w:pPr>
      <w:r>
        <w:rPr>
          <w:rFonts w:ascii="Arial" w:cs="Arial" w:eastAsia="Arial" w:hAnsi="Arial"/>
          <w:sz w:val="16"/>
          <w:szCs w:val="16"/>
          <w:color w:val="auto"/>
        </w:rPr>
        <w:t>The following table summarizes the significant terms of warrants outstanding at December 31, 2013. These warrants may be settled in cash or via cashless conversion into shares of the Company’s common stock at the request of the warrant holder. These warrants were granted as part of a financing agreement: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Weighted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average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Range of</w:t>
            </w: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32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remaining</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exercise</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3"/>
              </w:rPr>
              <w:t>exercise</w:t>
            </w: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warrants</w:t>
            </w: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contractual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price of</w:t>
            </w:r>
          </w:p>
        </w:tc>
        <w:tc>
          <w:tcPr>
            <w:tcW w:w="26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outstanding</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Prices</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20"/>
                <w:szCs w:val="20"/>
                <w:color w:val="auto"/>
              </w:rPr>
            </w:pPr>
          </w:p>
        </w:tc>
        <w:tc>
          <w:tcPr>
            <w:tcW w:w="13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1"/>
              </w:rPr>
              <w:t>life (years)</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4"/>
              </w:rPr>
              <w:t>Warrants</w:t>
            </w:r>
          </w:p>
        </w:tc>
        <w:tc>
          <w:tcPr>
            <w:tcW w:w="2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warrants Exercisable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exercisable Warrants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6.38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0.010</w:t>
            </w:r>
          </w:p>
        </w:tc>
        <w:tc>
          <w:tcPr>
            <w:tcW w:w="2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700,000</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783,623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5.24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2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783,623</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1,507,101</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0.550</w:t>
            </w:r>
          </w:p>
        </w:tc>
        <w:tc>
          <w:tcPr>
            <w:tcW w:w="2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1,507,101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0.550</w:t>
            </w: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2,828,405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0.575</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2,828,405</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5,819,129</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3.35</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0.457</w:t>
            </w:r>
          </w:p>
        </w:tc>
        <w:tc>
          <w:tcPr>
            <w:tcW w:w="26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5,819,129</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0000EE"/>
            </w:tcBorders>
          </w:tcPr>
          <w:p>
            <w:pPr>
              <w:spacing w:after="0"/>
              <w:rPr>
                <w:rFonts w:ascii="Arial" w:cs="Arial" w:eastAsia="Arial" w:hAnsi="Arial"/>
                <w:sz w:val="14"/>
                <w:szCs w:val="14"/>
                <w:color w:val="0000EE"/>
                <w:w w:val="93"/>
              </w:rPr>
            </w:pPr>
            <w:hyperlink w:anchor="page2">
              <w:r>
                <w:rPr>
                  <w:rFonts w:ascii="Arial" w:cs="Arial" w:eastAsia="Arial" w:hAnsi="Arial"/>
                  <w:sz w:val="14"/>
                  <w:szCs w:val="14"/>
                  <w:color w:val="0000EE"/>
                  <w:w w:val="93"/>
                </w:rPr>
                <w:t>Index</w:t>
              </w:r>
            </w:hyperlink>
          </w:p>
        </w:tc>
        <w:tc>
          <w:tcPr>
            <w:tcW w:w="652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26"/>
        </w:trPr>
        <w:tc>
          <w:tcPr>
            <w:tcW w:w="6860" w:type="dxa"/>
            <w:vAlign w:val="bottom"/>
            <w:gridSpan w:val="3"/>
          </w:tcPr>
          <w:p>
            <w:pPr>
              <w:spacing w:after="0"/>
              <w:rPr>
                <w:sz w:val="20"/>
                <w:szCs w:val="20"/>
                <w:color w:val="auto"/>
              </w:rPr>
            </w:pPr>
            <w:r>
              <w:rPr>
                <w:rFonts w:ascii="Arial" w:cs="Arial" w:eastAsia="Arial" w:hAnsi="Arial"/>
                <w:sz w:val="18"/>
                <w:szCs w:val="18"/>
                <w:color w:val="auto"/>
              </w:rPr>
              <w:t>Transactions involving warrants are summarized as follows:</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0.506</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0.100</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Cancelled / 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Warrants outstanding at December 31, 2012</w:t>
            </w:r>
          </w:p>
        </w:tc>
        <w:tc>
          <w:tcPr>
            <w:tcW w:w="1360" w:type="dxa"/>
            <w:vAlign w:val="bottom"/>
          </w:tcPr>
          <w:p>
            <w:pPr>
              <w:jc w:val="right"/>
              <w:spacing w:after="0"/>
              <w:rPr>
                <w:sz w:val="20"/>
                <w:szCs w:val="20"/>
                <w:color w:val="auto"/>
              </w:rPr>
            </w:pPr>
            <w:r>
              <w:rPr>
                <w:rFonts w:ascii="Arial" w:cs="Arial" w:eastAsia="Arial" w:hAnsi="Arial"/>
                <w:sz w:val="18"/>
                <w:szCs w:val="18"/>
                <w:color w:val="auto"/>
              </w:rPr>
              <w:t>7,036,000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0.409</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(396,871)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0.504</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Cancelled / Expired</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(820,000)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0.100</w:t>
            </w:r>
          </w:p>
        </w:tc>
      </w:tr>
      <w:tr>
        <w:trPr>
          <w:trHeight w:val="27"/>
        </w:trPr>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Warrants outstanding at December 31, 2013</w:t>
            </w:r>
          </w:p>
        </w:tc>
        <w:tc>
          <w:tcPr>
            <w:tcW w:w="1360" w:type="dxa"/>
            <w:vAlign w:val="bottom"/>
          </w:tcPr>
          <w:p>
            <w:pPr>
              <w:jc w:val="right"/>
              <w:spacing w:after="0"/>
              <w:rPr>
                <w:sz w:val="20"/>
                <w:szCs w:val="20"/>
                <w:color w:val="auto"/>
              </w:rPr>
            </w:pPr>
            <w:r>
              <w:rPr>
                <w:rFonts w:ascii="Arial" w:cs="Arial" w:eastAsia="Arial" w:hAnsi="Arial"/>
                <w:sz w:val="18"/>
                <w:szCs w:val="18"/>
                <w:color w:val="auto"/>
              </w:rPr>
              <w:t>5,819,129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0.457</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twelve months ended December 31, 2013, the Company issued the following options to its Chief Executive Officer: options to purchase 100,000 shares of common stock at a price of $0.40 per share; options to purchase 100,000 shares of common stock at a price of $0.57 per share; and options to purchase 125,000 shares of common stock at a price of $1.60 per share. The Company also issued the following options to its President: options to purchase 100,000 shares of common stock at a price of $0.35 per share; options to purchase 100,000 shares of common stock at a price of $0.40 per share; options to purchase 100,000 shares of common stock at a price of $0.57 per share; and options to purchase 125,000 shares of common stock at a price of $1.60 per share. The Company also issued the following options to its Chief Accounting and Information Officer: options to purchase 120,000 shares of common stock at $0.40 per share; options to purchase 25,000 shares of common stock at $0.57 per share; and options to purchase 60,000 shares of common stock at $1.60 per share.</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twelve months ended December 31, 2012, the Company issued options to purchase 100,000 shares of common stock at a price of $0.35 per share to each of its five directors (options to purchase an aggregate of 500,000 shares, post reverse-split) and additional options to purchase 100,000 shares of common stock at a price of $0.35 to its President. On December 31, 2012, the Company issued options to purchase an additional 100,000 shares of common stock at a price of $0.35 per share to each of its five directors (options to purchase an aggregate of 500,000 shares).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outstanding and the related prices for the options to purchase shares of the Company’s common stock issued by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Weighted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average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average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5"/>
              </w:rPr>
              <w:t>exercise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Range of</w:t>
            </w: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Remaining</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price of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3"/>
              </w:rPr>
              <w:t>exercise</w:t>
            </w: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options</w:t>
            </w: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contractual</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outstanding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options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exercisable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Prices</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8"/>
              </w:rPr>
              <w:t>life (years)</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Options</w:t>
            </w:r>
          </w:p>
        </w:tc>
        <w:tc>
          <w:tcPr>
            <w:tcW w:w="2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0.350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3.59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1,240,000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0.380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1.25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132,500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3.01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0.400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1.50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132,500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1.75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0.474</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132,500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0.480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0.480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132,500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4.01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4.01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2,580,000</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3.21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0.544</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1,920,000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0.459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0000EE"/>
            </w:tcBorders>
          </w:tcPr>
          <w:p>
            <w:pPr>
              <w:spacing w:after="0"/>
              <w:rPr>
                <w:rFonts w:ascii="Arial" w:cs="Arial" w:eastAsia="Arial" w:hAnsi="Arial"/>
                <w:sz w:val="14"/>
                <w:szCs w:val="14"/>
                <w:color w:val="0000EE"/>
                <w:w w:val="93"/>
              </w:rPr>
            </w:pPr>
            <w:hyperlink w:anchor="page2">
              <w:r>
                <w:rPr>
                  <w:rFonts w:ascii="Arial" w:cs="Arial" w:eastAsia="Arial" w:hAnsi="Arial"/>
                  <w:sz w:val="14"/>
                  <w:szCs w:val="14"/>
                  <w:color w:val="0000EE"/>
                  <w:w w:val="93"/>
                </w:rPr>
                <w:t>Index</w:t>
              </w:r>
            </w:hyperlink>
          </w:p>
        </w:tc>
        <w:tc>
          <w:tcPr>
            <w:tcW w:w="652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26"/>
        </w:trPr>
        <w:tc>
          <w:tcPr>
            <w:tcW w:w="6860" w:type="dxa"/>
            <w:vAlign w:val="bottom"/>
            <w:gridSpan w:val="3"/>
          </w:tcPr>
          <w:p>
            <w:pPr>
              <w:spacing w:after="0"/>
              <w:rPr>
                <w:sz w:val="20"/>
                <w:szCs w:val="20"/>
                <w:color w:val="auto"/>
              </w:rPr>
            </w:pPr>
            <w:r>
              <w:rPr>
                <w:rFonts w:ascii="Arial" w:cs="Arial" w:eastAsia="Arial" w:hAnsi="Arial"/>
                <w:sz w:val="18"/>
                <w:szCs w:val="18"/>
                <w:color w:val="auto"/>
              </w:rPr>
              <w:t>Transactions involving stock options issued to employees are summarized as follows:</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5"/>
              </w:rPr>
              <w:t>Weighted Average</w:t>
            </w:r>
          </w:p>
        </w:tc>
      </w:tr>
      <w:tr>
        <w:trPr>
          <w:trHeight w:val="241"/>
        </w:trPr>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Exercise Price</w:t>
            </w:r>
          </w:p>
        </w:tc>
        <w:tc>
          <w:tcPr>
            <w:tcW w:w="1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0.402</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0.350</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Outstanding as December 31, 2012</w:t>
            </w:r>
          </w:p>
        </w:tc>
        <w:tc>
          <w:tcPr>
            <w:tcW w:w="1360" w:type="dxa"/>
            <w:vAlign w:val="bottom"/>
          </w:tcPr>
          <w:p>
            <w:pPr>
              <w:jc w:val="right"/>
              <w:spacing w:after="0"/>
              <w:rPr>
                <w:sz w:val="20"/>
                <w:szCs w:val="20"/>
                <w:color w:val="auto"/>
              </w:rPr>
            </w:pPr>
            <w:r>
              <w:rPr>
                <w:rFonts w:ascii="Arial" w:cs="Arial" w:eastAsia="Arial" w:hAnsi="Arial"/>
                <w:sz w:val="18"/>
                <w:szCs w:val="18"/>
                <w:color w:val="auto"/>
              </w:rPr>
              <w:t>2,070,000</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0.375</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910,000</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0.807</w:t>
            </w: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Forfeited or expired</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0.350</w:t>
            </w:r>
          </w:p>
        </w:tc>
      </w:tr>
      <w:tr>
        <w:trPr>
          <w:trHeight w:val="27"/>
        </w:trPr>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2,580,000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0.544</w:t>
            </w:r>
          </w:p>
        </w:tc>
      </w:tr>
      <w:tr>
        <w:trPr>
          <w:trHeight w:val="20"/>
        </w:trPr>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Aggregate intrinsic value of options outstanding and exercisable at December 31, 2013 and 2012 was $1,563,370 and $0, respectively. Aggregate intrinsic value represents the difference between the Company's closing stock price on the last trading day of the fiscal period, which was $1.25 and $0.33 as of December 31, 2013 and 2012, respectively, and the exercise price multiplied by the number of options outstanding.</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and 2012, the Company charged $32,364 and $348,120, respectively, to operations related to recognized stock-based compensation expense for employee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grant dates in relation to the market price during 2013 and 2012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lower than market price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equal to market price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exceeded market price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to</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  to $0.43</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and 2012, there were 660,000 and 0, respectively, non-vested options issued to employees and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terms of an employment agreement with the Chief Executive Officer, the Company is obligated to issue $27,937 in restricted stock units (“RSU”) or stock for 2013, $24,875 RSU for 2014 and $13,688 RSU for 2015. The RSU or stock for 2013 shall be issued on January 1, 2013 and be priced at the lower of the closing price of the Corporation’s common stock on the date the Board of Directors approves this Agreement or on January 3, 2013, provided that in no event shall the price be less than $0.25 per share. For 2014 and 2015 the RSU or stock shall be issued on January 1 of each such year based upon the average closing trading price of the Corporation’s common stock over the 30 trading days prior to the date of grant. As permitted by law, Executive may receive any portion of the cash Base Salary in the form of stock or RSU by delivering notice to the Corporation, from to time, at a valuation based upon the average closing price of the Corporation’s common stock over the 30 trading days ended on a trading date that is five trading days prior to Executive’s notice.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valued stock options and warrants using the Black-Scholes valuation model utilizing the following variables: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186.46%</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112.43%</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214.36%</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Dividends</w:t>
            </w:r>
          </w:p>
        </w:tc>
        <w:tc>
          <w:tcPr>
            <w:tcW w:w="2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340" w:type="dxa"/>
            <w:vAlign w:val="bottom"/>
          </w:tcPr>
          <w:p>
            <w:pPr>
              <w:ind w:left="120"/>
              <w:spacing w:after="0"/>
              <w:rPr>
                <w:sz w:val="20"/>
                <w:szCs w:val="20"/>
                <w:color w:val="auto"/>
              </w:rPr>
            </w:pPr>
            <w:r>
              <w:rPr>
                <w:rFonts w:ascii="Arial" w:cs="Arial" w:eastAsia="Arial" w:hAnsi="Arial"/>
                <w:sz w:val="18"/>
                <w:szCs w:val="18"/>
                <w:color w:val="auto"/>
              </w:rPr>
              <w:t>to</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340" w:type="dxa"/>
            <w:vAlign w:val="bottom"/>
          </w:tcPr>
          <w:p>
            <w:pPr>
              <w:ind w:left="100"/>
              <w:spacing w:after="0"/>
              <w:rPr>
                <w:sz w:val="20"/>
                <w:szCs w:val="20"/>
                <w:color w:val="auto"/>
              </w:rPr>
            </w:pPr>
            <w:r>
              <w:rPr>
                <w:rFonts w:ascii="Arial" w:cs="Arial" w:eastAsia="Arial" w:hAnsi="Arial"/>
                <w:sz w:val="18"/>
                <w:szCs w:val="18"/>
                <w:color w:val="auto"/>
              </w:rPr>
              <w:t>to</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Term (years)</w:t>
            </w: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0.45</w:t>
            </w:r>
          </w:p>
        </w:tc>
        <w:tc>
          <w:tcPr>
            <w:tcW w:w="340" w:type="dxa"/>
            <w:vAlign w:val="bottom"/>
          </w:tcPr>
          <w:p>
            <w:pPr>
              <w:ind w:left="120"/>
              <w:spacing w:after="0"/>
              <w:rPr>
                <w:sz w:val="20"/>
                <w:szCs w:val="20"/>
                <w:color w:val="auto"/>
              </w:rPr>
            </w:pPr>
            <w:r>
              <w:rPr>
                <w:rFonts w:ascii="Arial" w:cs="Arial" w:eastAsia="Arial" w:hAnsi="Arial"/>
                <w:sz w:val="18"/>
                <w:szCs w:val="18"/>
                <w:color w:val="auto"/>
              </w:rPr>
              <w:t>to</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0.01</w:t>
            </w:r>
          </w:p>
        </w:tc>
        <w:tc>
          <w:tcPr>
            <w:tcW w:w="340" w:type="dxa"/>
            <w:vAlign w:val="bottom"/>
          </w:tcPr>
          <w:p>
            <w:pPr>
              <w:ind w:left="100"/>
              <w:spacing w:after="0"/>
              <w:rPr>
                <w:sz w:val="20"/>
                <w:szCs w:val="20"/>
                <w:color w:val="auto"/>
              </w:rPr>
            </w:pPr>
            <w:r>
              <w:rPr>
                <w:rFonts w:ascii="Arial" w:cs="Arial" w:eastAsia="Arial" w:hAnsi="Arial"/>
                <w:sz w:val="18"/>
                <w:szCs w:val="18"/>
                <w:color w:val="auto"/>
              </w:rPr>
              <w:t>to</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17, 2008, we entered into a three-year lease with Grand Cypress Communities, Inc. for new premises consisting of 4,000 square feet at 3845 Beck Blvd., Naples, Florida. The commencement date of the lease is January 1, 2009. On November 11, 2011, the Company extended the lease with Grand Cypress Communities, Inc. for 3 years, commencing on January 1, 2012. The annual rent and fees under the lease is approximately $54,000. The lease provides for a buyout option at the end of the lease with credit towards the purchase price received for the rental payments made during the term of the lease. In February 2013, the Company entered into a modification of the lease agreement whereby the lease term was reduced from 3 years to 2 years. The lease was mutually terminated effective August 31, 2013.</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7, 2012, we entered into a three-year lease with David and Sherri Vohaska for approximately 18,700 feet of office and warehouse space located at 8121 Ogden Avenue, Lyons, Illinois. The annual rent under the lease is approximately $8,333 per month for the first year, $8,417 per month for the second year, and $8,500 for the third year. David Vohaska is currently an employee of the Company and prior to the acquisition of Artisan Specialty Foods, Inc. was the owner of Artisan.</w:t>
      </w:r>
    </w:p>
    <w:p>
      <w:pPr>
        <w:sectPr>
          <w:pgSz w:w="11900" w:h="16838" w:orient="portrait"/>
          <w:cols w:equalWidth="0" w:num="1">
            <w:col w:w="11420"/>
          </w:cols>
          <w:pgMar w:left="240" w:top="114" w:right="239" w:bottom="82"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82"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0000EE"/>
            </w:tcBorders>
          </w:tcPr>
          <w:p>
            <w:pPr>
              <w:spacing w:after="0"/>
              <w:rPr>
                <w:rFonts w:ascii="Arial" w:cs="Arial" w:eastAsia="Arial" w:hAnsi="Arial"/>
                <w:sz w:val="14"/>
                <w:szCs w:val="14"/>
                <w:color w:val="0000EE"/>
                <w:w w:val="93"/>
              </w:rPr>
            </w:pPr>
            <w:hyperlink w:anchor="page2">
              <w:r>
                <w:rPr>
                  <w:rFonts w:ascii="Arial" w:cs="Arial" w:eastAsia="Arial" w:hAnsi="Arial"/>
                  <w:sz w:val="14"/>
                  <w:szCs w:val="14"/>
                  <w:color w:val="0000EE"/>
                  <w:w w:val="93"/>
                </w:rPr>
                <w:t>Index</w:t>
              </w:r>
            </w:hyperlink>
          </w:p>
        </w:tc>
        <w:tc>
          <w:tcPr>
            <w:tcW w:w="80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26"/>
        </w:trPr>
        <w:tc>
          <w:tcPr>
            <w:tcW w:w="8400" w:type="dxa"/>
            <w:vAlign w:val="bottom"/>
            <w:gridSpan w:val="3"/>
          </w:tcPr>
          <w:p>
            <w:pPr>
              <w:spacing w:after="0"/>
              <w:rPr>
                <w:sz w:val="20"/>
                <w:szCs w:val="20"/>
                <w:color w:val="auto"/>
              </w:rPr>
            </w:pPr>
            <w:r>
              <w:rPr>
                <w:rFonts w:ascii="Arial" w:cs="Arial" w:eastAsia="Arial" w:hAnsi="Arial"/>
                <w:sz w:val="18"/>
                <w:szCs w:val="18"/>
                <w:color w:val="auto"/>
              </w:rPr>
              <w:t>At December 31, 2013, commitments for minimum rental payments were as follows: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twelve months ended: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101,673</w:t>
            </w: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December 31, 2015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34,003</w:t>
            </w:r>
          </w:p>
        </w:tc>
        <w:tc>
          <w:tcPr>
            <w:tcW w:w="1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135,676</w:t>
            </w:r>
          </w:p>
        </w:tc>
        <w:tc>
          <w:tcPr>
            <w:tcW w:w="12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MAJOR CUSTOMER</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largest customer, US Foods, Inc. and its affiliates, accounted for approximately 72% and 76% of total sales in the years ended December 31, 2013 and 2012, respectively. A contract between our subsidiary, Food Innovations, and USF entered an optional renewal period in December 2012 but was automatically extended for an additional 12 months in each of January 1, 2013 and 2014. We believe that although a significant portion of our sales occur through USF and its affiliates, the success of the program is less contingent on a contract than on our actual performance and the quality of our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short-term financial instruments, including cash, accounts payable and other liabilities, consist primarily of instruments without extended maturities, the fair value of which, based on management’s estimates, reasonably approximate their book value. The fair value of the Company’s stock option, convertible debt features and warrant instruments is determined using option pricing models.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adoption of ASC 815-40, the Company is required to disclose the fair value measurements required by ASC 820, “Fair Value Measurements and Disclosures.” The other liabilities recorded at fair value in the balance sheet as of December 31, 2009 are categorized based upon the level of judgment associated with the inputs used to measure their fair value. Hierarchical levels, defined by ASC 820 are directly related to the amount of subjectivity associated with the inputs to fair valuations of these liabilities are as follows:</w:t>
      </w: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Inputs are unadjusted, quoted prices in active markets for identical assets or liabilities at the measurement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Level 1 inputs that are either directly or indirectly observable; and</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which little or no market data exist, therefore requiring an entity to develop its own assumptions.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December 31, 2013 and 2012, the Company did not have financial assets or liabilities that are required to be accounted for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derivative liability for which Level 3 inputs were used in determining the approximate fair value:</w:t>
      </w:r>
    </w:p>
    <w:p>
      <w:pPr>
        <w:sectPr>
          <w:pgSz w:w="11900" w:h="16838" w:orient="portrait"/>
          <w:cols w:equalWidth="0" w:num="1">
            <w:col w:w="11420"/>
          </w:cols>
          <w:pgMar w:left="240" w:top="114" w:right="239" w:bottom="1440" w:gutter="0" w:footer="0" w:header="0"/>
        </w:sectPr>
      </w:pP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Beginning balance as of January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Reclassification to equity</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Fair value of common stock equivalents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-116205</wp:posOffset>
            </wp:positionV>
            <wp:extent cx="542861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Fair value of extension of warrant term</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Gain on restructure of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Change in fair value</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Ending balance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28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Beginning balance as of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Additions during the year</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Ending balance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44" w:hanging="644"/>
        <w:spacing w:after="0"/>
        <w:tabs>
          <w:tab w:leader="none" w:pos="644" w:val="left"/>
        </w:tabs>
        <w:numPr>
          <w:ilvl w:val="0"/>
          <w:numId w:val="7"/>
        </w:numPr>
        <w:rPr>
          <w:rFonts w:ascii="Arial" w:cs="Arial" w:eastAsia="Arial" w:hAnsi="Arial"/>
          <w:sz w:val="17"/>
          <w:szCs w:val="17"/>
          <w:color w:val="auto"/>
        </w:rPr>
      </w:pPr>
      <w:r>
        <w:rPr>
          <w:rFonts w:ascii="Arial" w:cs="Arial" w:eastAsia="Arial" w:hAnsi="Arial"/>
          <w:sz w:val="17"/>
          <w:szCs w:val="17"/>
          <w:color w:val="auto"/>
        </w:rPr>
        <w:t>1,908,470</w:t>
      </w:r>
    </w:p>
    <w:p>
      <w:pPr>
        <w:spacing w:after="0" w:line="34" w:lineRule="exact"/>
        <w:rPr>
          <w:rFonts w:ascii="Arial" w:cs="Arial" w:eastAsia="Arial" w:hAnsi="Arial"/>
          <w:sz w:val="17"/>
          <w:szCs w:val="17"/>
          <w:color w:val="auto"/>
        </w:rPr>
      </w:pPr>
    </w:p>
    <w:p>
      <w:pPr>
        <w:ind w:left="724"/>
        <w:spacing w:after="0"/>
        <w:rPr>
          <w:rFonts w:ascii="Arial" w:cs="Arial" w:eastAsia="Arial" w:hAnsi="Arial"/>
          <w:sz w:val="17"/>
          <w:szCs w:val="17"/>
          <w:color w:val="auto"/>
        </w:rPr>
      </w:pPr>
      <w:r>
        <w:rPr>
          <w:rFonts w:ascii="Arial" w:cs="Arial" w:eastAsia="Arial" w:hAnsi="Arial"/>
          <w:sz w:val="16"/>
          <w:szCs w:val="16"/>
          <w:color w:val="auto"/>
        </w:rPr>
        <w:t>(493,713)</w:t>
      </w:r>
    </w:p>
    <w:p>
      <w:pPr>
        <w:spacing w:after="0" w:line="32"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1,022,726</w:t>
      </w:r>
    </w:p>
    <w:p>
      <w:pPr>
        <w:spacing w:after="0" w:line="9"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842,100</w:t>
      </w:r>
    </w:p>
    <w:p>
      <w:pPr>
        <w:spacing w:after="0" w:line="9"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(3,797,001)</w:t>
      </w:r>
    </w:p>
    <w:p>
      <w:pPr>
        <w:spacing w:after="0" w:line="9"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517,418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66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2" w:lineRule="exact"/>
        <w:rPr>
          <w:sz w:val="20"/>
          <w:szCs w:val="20"/>
          <w:color w:val="auto"/>
        </w:rPr>
      </w:pPr>
    </w:p>
    <w:p>
      <w:pPr>
        <w:ind w:left="1304" w:hanging="1304"/>
        <w:spacing w:after="0"/>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306" w:lineRule="exact"/>
        <w:rPr>
          <w:sz w:val="20"/>
          <w:szCs w:val="20"/>
          <w:color w:val="auto"/>
        </w:rPr>
      </w:pPr>
    </w:p>
    <w:p>
      <w:pPr>
        <w:ind w:left="1324" w:hanging="1297"/>
        <w:spacing w:after="0"/>
        <w:tabs>
          <w:tab w:leader="none" w:pos="1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32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wp:posOffset>
            </wp:positionV>
            <wp:extent cx="8661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2" w:lineRule="exact"/>
        <w:rPr>
          <w:sz w:val="20"/>
          <w:szCs w:val="20"/>
          <w:color w:val="auto"/>
        </w:rPr>
      </w:pPr>
    </w:p>
    <w:p>
      <w:pPr>
        <w:ind w:left="1324" w:hanging="1297"/>
        <w:spacing w:after="0"/>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756" w:space="720"/>
            <w:col w:w="2944"/>
          </w:cols>
          <w:pgMar w:left="240" w:top="114" w:right="2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December 31, 2013, the Company issued 16,202 shares of common stock due to the cashless exercise of warrants at a price of $0.25 per share, and an additional 360,354 shares of common stock due to the conversion of notes payable and accrued interest at a price of $0.25 per share. The Company also repurchased 85,950 shares of common stock for the amount of $60,000 to be held as treasury shares.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we conducted an evaluation of our disclosure controls and procedures, as such term is defined under Rules 13a-15(e) and 15d-15(e) promulgated under the Securities Exchange Act of 1934, as amended (the Exchange Act).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We concluded that our disclosure controls and procedures as defined in Rule 13a-15(e) under the Exchange Act were effective as of December 31, 2013 to ensure that information required to be disclosed in reports we file or submit under the Exchange Act is recorded, processed, and summarized and reported within the time periods specified in SEC rules and forms and our disclosure controls and procedures are also effective to ensure that the information required to be disclosed in reports that we file under the Exchange Act is accumulated and communicated to our principal executive and financial officers to allow timely decisions regarding required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15d-(f) under the Exchange Act. Our internal control over financial reporting are designed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w:t>
      </w:r>
    </w:p>
    <w:p>
      <w:pPr>
        <w:spacing w:after="0" w:line="18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23" w:lineRule="exact"/>
        <w:rPr>
          <w:rFonts w:ascii="Arial" w:cs="Arial" w:eastAsia="Arial" w:hAnsi="Arial"/>
          <w:sz w:val="18"/>
          <w:szCs w:val="18"/>
          <w:color w:val="auto"/>
        </w:rPr>
      </w:pPr>
    </w:p>
    <w:p>
      <w:pPr>
        <w:jc w:val="both"/>
        <w:ind w:firstLine="8"/>
        <w:spacing w:after="0" w:line="250"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the preparation of our consolidated financial statements in accordance with U.S.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firstLine="8"/>
        <w:spacing w:after="0" w:line="261" w:lineRule="auto"/>
        <w:tabs>
          <w:tab w:leader="none" w:pos="3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2013. In making this assessment, management used the criteria set forth in Internal Control Over Financial Reporting — Guidance for Smaller Public Companies issued by the Committee of Sponsoring Organizations of the Treadway Commission.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inherent limitations described in the following paragraph, our management has concluded that our internal control over financial reporting was effective at December 31, 2013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 Accordingly, our internal controls and procedures are designed to provide reasonable assurance of achieving their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made no change in our internal control over financial reporting during the last fiscal quarter that has materially affected, or is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temporary rules of the SEC that permit us to provide only management’s report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 forth below are the directors and executive officers of our Company, their respective names and ages, positions with our Company, principal occupations and business experiences during at least the past five years.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84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Sam Klepfish</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39</w:t>
            </w: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Justin Wiernesz</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Joel Gold</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73</w:t>
            </w: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Solomon Mayer</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Hank Cohn</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 Klepfish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Klepfish has been a director since December 1, 2005. From November 2007 to present Mr. Klepfish is the CEO of Innovative Food Holdings and its subsidiaries. From March 2006 to November 2007 Mr. Klepfish was the interim president of the Company and its subsidiary. Since February 2005 Mr. Klepfish was also a Managing Partner at ISG Capital, a merchant bank. From May 2004 through February 2005 Mr. Klepfish served as a Managing Director of Technoprises, Ltd. From January 2001 to May 2004 he was a corporate finance analyst and consultant at Phillips Nizer, a New York law firm. Since January 2001 Mr. Klepfish has been a member of the steering committee of Tri-State Ventures, a New York investment group. From 1998 to December 2000, Mr. Klepfish was an asset manager for several investors in small-cap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Joel Gold, Director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Gold is currently an investment Banker at Buckman, Buckman and Reid located in New Jersey, a position he has held since May 2010. Prior there to, from October 2004, he was head of investment banking of Andrew Garrett, Inc. From January 2000 until September 2004, he served as Executive Vice President of Investment Banking of Berry Shino Securities, Inc., an investment banking firm also located in New York City. From January 1999 until December 1999, he was an Executive Vice President of Solid Capital Markets, an investment-banking firm also located in New York City. From September 1997 to January 1999, he served as a Senior Managing Director of Interbank Capital Group, LLC, an investment banking firm also located in New York City. From April 1996 to September 1997, Mr. Gold was an Executive Vice President of LT Lawrence &amp; Co., and from March 1995 to April 1996, a Managing Director of Fechtor Detwiler &amp; Co., Inc., a representative of the underwriters for the Company’s initial public offering. Mr. Gold was a Managing Director of Furman Selz Incorporated from January 1992 until March 1995. From April 1990 until January 1992, Mr. Gold was a Managing Director of Bear Stearns and Co., Inc. (“Bear Stearns”). For approximately 20 years before he became affiliated with Bear Stearns, he held various positions with Drexel Burnham Lambert, Inc. He is currently a director, and serves on the Audit and Compensation Committees, of Geneva Financial Corp., a publicly held specialty, consumer finance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Solomon Mayer, Director</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Mayer has been a director since October 29, 2010. Mr. Solomon Mayer has held various executive level positions, and has successfully overseen several businesses from conceptions to profitability. Mr. Mayer is currently on the board of directors of the following private Companies: Mooney Airplane Corporation, Premier Store Fixtures and Supreme Construction and Development, a real estate development and investment firm.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Hank Cohn, Director</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Cohn has been a director since October 29, 2010. Hank Cohn is currently CEO of P1 Billing, LLC, a revenue cycle management services provider to ambulatory medical clinics. P1 Billing is a spinoff of PracticeOne Inc., (formerly PracticeXpert, Inc., an OTCBB traded company), an integrated PMS and EMR software and services company for physicians. Mr. Cohn served as President and Chief Executive Officer of PracticeOne from December 2009 until December 2009, at which time he sold the company to Francison Partners, one of the largest, global technology focused, private equity firms in Silicon Valley. Prior to that, Mr. Cohn worked with a number of public companies. A partial list of his past and present board memberships include: Analytical Surveys, Inc., Kaching Kaching, Inc., and International Food and Wine, Inc., currently Evolution Resources Inc. Mr. Cohn also served as the executive vice president of Galaxy Ventures, LLC a closely-held investment fund concentrating in the areas of bond trading and early stage technology investments, where he acted as portfolio manager for investments.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Wiernasz, President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Wiernasz has been a director since November 1, 2013. Effective on July 31, 2008, Mr. Justin Wiernasz was promoted to the position of President of Innovative Food Holdings, Inc. Prior thereto he was the Executive Vice President of Marketing and Sales and Chief Marketing Officer of our operating subsidiary, Food Innovations, Inc. since May 2007 and the President of Food Innovations and our Chief Marketing Officer since December 2007. Prior thereto, he was at USF, our largest customer, for 13 years. From 2005 to 2007 he was the Vice President of Sales &amp; Marketing, USF, Boston, and prior thereto, from 2003 to 2005 he was a National Sales Trainer at USF, Charleston SC, from 1996 to 2003 he was the District Sales Manager at USF, Western Massachusetts and from 1993 to 1996 he was Territory Manager, USF, Northampton, Easthampton &amp; Amherst, MA. Prior to that from 1989 to 1993 he was the owner and operator J.J.’s food and spirit, a 110 seat restaurant</w:t>
      </w:r>
      <w:r>
        <w:rPr>
          <w:rFonts w:ascii="Arial" w:cs="Arial" w:eastAsia="Arial" w:hAnsi="Arial"/>
          <w:sz w:val="17"/>
          <w:szCs w:val="17"/>
          <w:i w:val="1"/>
          <w:i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McDonald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McDonald, age 52, has been the Chief Information Officer of IVFH since November 2007 and our principal accounting officer since November 2007. From 2004 through 2007, Mr. McDonald worked as a consultant with Softrim Corporation of Estero, Florida where he created custom applications for a variety of different industries and assisted in building interfaces to accounting applications. Since 1999 he has also been President of McDonald Consulting Group, Inc. which provide consulting on accounts receivable, systems and accounting services.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 of Directors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all of our directors are qualified for their positions and each brings a benefit to the board. Messrs. Kelpfish and Wiernasz, as our executive officers, are uniquely qualified to bring management’s perspective to the board’s deliberations. Mr. Gold, with his lengthy career working for broker/dealers, brings “Wall Street’s” perspective. Mr. Mayer, with his experience as an executive in start-up companies, brings that knowledge and insight to the board. Mr. Cohn, with his prior history of being an executive and his experience as a director of other companies, brings a well-rounded background and wealth of experience to our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does not currently have an Audit Committee, a Compensation Committee, a Nominating Committee or a Governance Committee. The usual functions of such committees are performed by the entire Board of Directors. We are currently having difficulties attracting additional qualified directors, specifically to act as the audit committee financial expert. However, we believe that at least a majority of our directors are familiar with the contents of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Ethics that applies to each of our employees, including our principal executive officer and our principal financial officer, as well as members of our Board of Directors. A copy of such Code has been publicly filed with, and is available for free from,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2013, Mr. Wiernasz did not file one Form 3.</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concerning the compensation for services in all capacities rendered to us for the year ended December 31, 2013, of our Chief Executive Officer and our other executive officers whose annual compensation exceeded $100,000 in the fiscal year ended December 31, 2013, if any. We refer to the Chief Executive Officer and these other officers as the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20" w:type="dxa"/>
            <w:vAlign w:val="bottom"/>
            <w:gridSpan w:val="11"/>
          </w:tcPr>
          <w:p>
            <w:pPr>
              <w:ind w:left="60"/>
              <w:spacing w:after="0"/>
              <w:rPr>
                <w:sz w:val="20"/>
                <w:szCs w:val="20"/>
                <w:color w:val="auto"/>
              </w:rPr>
            </w:pPr>
            <w:r>
              <w:rPr>
                <w:rFonts w:ascii="Arial" w:cs="Arial" w:eastAsia="Arial" w:hAnsi="Arial"/>
                <w:sz w:val="18"/>
                <w:szCs w:val="18"/>
                <w:b w:val="1"/>
                <w:bCs w:val="1"/>
                <w:color w:val="auto"/>
              </w:rPr>
              <w:t>SUMMARY COMPENSATION TABLE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Nonqualified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Deferred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Name and</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Option</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Incentive Plan</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4"/>
              </w:rPr>
              <w:t>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Salary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Bonus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c>
          <w:tcPr>
            <w:tcW w:w="280" w:type="dxa"/>
            <w:vAlign w:val="bottom"/>
          </w:tcPr>
          <w:p>
            <w:pPr>
              <w:spacing w:after="0"/>
              <w:rPr>
                <w:sz w:val="18"/>
                <w:szCs w:val="18"/>
                <w:color w:val="auto"/>
              </w:rPr>
            </w:pPr>
          </w:p>
        </w:tc>
        <w:tc>
          <w:tcPr>
            <w:tcW w:w="1340" w:type="dxa"/>
            <w:vAlign w:val="bottom"/>
            <w:gridSpan w:val="4"/>
          </w:tcPr>
          <w:p>
            <w:pPr>
              <w:ind w:left="40"/>
              <w:spacing w:after="0"/>
              <w:rPr>
                <w:sz w:val="20"/>
                <w:szCs w:val="20"/>
                <w:color w:val="auto"/>
              </w:rPr>
            </w:pPr>
            <w:r>
              <w:rPr>
                <w:rFonts w:ascii="Arial" w:cs="Arial" w:eastAsia="Arial" w:hAnsi="Arial"/>
                <w:sz w:val="18"/>
                <w:szCs w:val="18"/>
                <w:b w:val="1"/>
                <w:bCs w:val="1"/>
                <w:color w:val="auto"/>
              </w:rPr>
              <w:t>Compensation</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89"/>
              </w:rPr>
              <w:t>Compensation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80" w:type="dxa"/>
            <w:vAlign w:val="bottom"/>
          </w:tcPr>
          <w:p>
            <w:pPr>
              <w:spacing w:after="0"/>
              <w:rPr>
                <w:sz w:val="20"/>
                <w:szCs w:val="20"/>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Year</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Sam Klepfish</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2013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215,828</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(b)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69,047</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362,784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CEO</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198,037</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90,500</w:t>
            </w:r>
          </w:p>
        </w:tc>
        <w:tc>
          <w:tcPr>
            <w:tcW w:w="300" w:type="dxa"/>
            <w:vAlign w:val="bottom"/>
          </w:tcPr>
          <w:p>
            <w:pPr>
              <w:ind w:left="20"/>
              <w:spacing w:after="0"/>
              <w:rPr>
                <w:sz w:val="20"/>
                <w:szCs w:val="20"/>
                <w:color w:val="auto"/>
              </w:rPr>
            </w:pPr>
            <w:r>
              <w:rPr>
                <w:rFonts w:ascii="Arial" w:cs="Arial" w:eastAsia="Arial" w:hAnsi="Arial"/>
                <w:sz w:val="18"/>
                <w:szCs w:val="18"/>
                <w:color w:val="auto"/>
              </w:rPr>
              <w:t>(e)</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63,414</w:t>
            </w:r>
          </w:p>
        </w:tc>
        <w:tc>
          <w:tcPr>
            <w:tcW w:w="280" w:type="dxa"/>
            <w:vAlign w:val="bottom"/>
          </w:tcPr>
          <w:p>
            <w:pPr>
              <w:ind w:left="20"/>
              <w:spacing w:after="0"/>
              <w:rPr>
                <w:sz w:val="20"/>
                <w:szCs w:val="20"/>
                <w:color w:val="auto"/>
              </w:rPr>
            </w:pPr>
            <w:r>
              <w:rPr>
                <w:rFonts w:ascii="Arial" w:cs="Arial" w:eastAsia="Arial" w:hAnsi="Arial"/>
                <w:sz w:val="18"/>
                <w:szCs w:val="18"/>
                <w:color w:val="auto"/>
              </w:rPr>
              <w:t>(n)</w:t>
            </w: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300" w:type="dxa"/>
            <w:vAlign w:val="bottom"/>
          </w:tcPr>
          <w:p>
            <w:pPr>
              <w:ind w:left="20"/>
              <w:spacing w:after="0"/>
              <w:rPr>
                <w:sz w:val="20"/>
                <w:szCs w:val="20"/>
                <w:color w:val="auto"/>
              </w:rPr>
            </w:pPr>
            <w:r>
              <w:rPr>
                <w:rFonts w:ascii="Arial" w:cs="Arial" w:eastAsia="Arial" w:hAnsi="Arial"/>
                <w:sz w:val="18"/>
                <w:szCs w:val="18"/>
                <w:color w:val="auto"/>
              </w:rPr>
              <w:t>(d)</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352,955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2011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34,650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14,441</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Justin Wiernasz</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2013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233,776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214,293</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101,411</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6,838</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556,318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President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188,934</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90,500</w:t>
            </w:r>
          </w:p>
        </w:tc>
        <w:tc>
          <w:tcPr>
            <w:tcW w:w="300" w:type="dxa"/>
            <w:vAlign w:val="bottom"/>
          </w:tcPr>
          <w:p>
            <w:pPr>
              <w:ind w:left="20"/>
              <w:spacing w:after="0"/>
              <w:rPr>
                <w:sz w:val="20"/>
                <w:szCs w:val="20"/>
                <w:color w:val="auto"/>
              </w:rPr>
            </w:pPr>
            <w:r>
              <w:rPr>
                <w:rFonts w:ascii="Arial" w:cs="Arial" w:eastAsia="Arial" w:hAnsi="Arial"/>
                <w:sz w:val="18"/>
                <w:szCs w:val="18"/>
                <w:color w:val="auto"/>
              </w:rPr>
              <w:t>(e)</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31,050</w:t>
            </w:r>
          </w:p>
        </w:tc>
        <w:tc>
          <w:tcPr>
            <w:tcW w:w="280" w:type="dxa"/>
            <w:vAlign w:val="bottom"/>
          </w:tcPr>
          <w:p>
            <w:pPr>
              <w:ind w:left="20"/>
              <w:spacing w:after="0"/>
              <w:rPr>
                <w:sz w:val="20"/>
                <w:szCs w:val="20"/>
                <w:color w:val="auto"/>
              </w:rPr>
            </w:pPr>
            <w:r>
              <w:rPr>
                <w:rFonts w:ascii="Arial" w:cs="Arial" w:eastAsia="Arial" w:hAnsi="Arial"/>
                <w:sz w:val="18"/>
                <w:szCs w:val="18"/>
                <w:color w:val="auto"/>
              </w:rPr>
              <w:t>(i)</w:t>
            </w: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4,372</w:t>
            </w:r>
          </w:p>
        </w:tc>
        <w:tc>
          <w:tcPr>
            <w:tcW w:w="300" w:type="dxa"/>
            <w:vAlign w:val="bottom"/>
          </w:tcPr>
          <w:p>
            <w:pPr>
              <w:ind w:left="20"/>
              <w:spacing w:after="0"/>
              <w:rPr>
                <w:sz w:val="20"/>
                <w:szCs w:val="20"/>
                <w:color w:val="auto"/>
              </w:rPr>
            </w:pPr>
            <w:r>
              <w:rPr>
                <w:rFonts w:ascii="Arial" w:cs="Arial" w:eastAsia="Arial" w:hAnsi="Arial"/>
                <w:sz w:val="18"/>
                <w:szCs w:val="18"/>
                <w:color w:val="auto"/>
              </w:rPr>
              <w:t>(d)</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314,856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2011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34,650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John McDonald</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2013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134,677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(k)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7,725</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4,489</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211,891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Chief</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Information and</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119,942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500" w:type="dxa"/>
            <w:vAlign w:val="bottom"/>
            <w:gridSpan w:val="3"/>
          </w:tcPr>
          <w:p>
            <w:pPr>
              <w:ind w:left="20"/>
              <w:spacing w:after="0"/>
              <w:rPr>
                <w:sz w:val="20"/>
                <w:szCs w:val="20"/>
                <w:color w:val="auto"/>
              </w:rPr>
            </w:pPr>
            <w:r>
              <w:rPr>
                <w:rFonts w:ascii="Arial" w:cs="Arial" w:eastAsia="Arial" w:hAnsi="Arial"/>
                <w:sz w:val="18"/>
                <w:szCs w:val="18"/>
                <w:color w:val="auto"/>
              </w:rPr>
              <w:t>(m) $</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4,023</w:t>
            </w:r>
          </w:p>
        </w:tc>
        <w:tc>
          <w:tcPr>
            <w:tcW w:w="300" w:type="dxa"/>
            <w:vAlign w:val="bottom"/>
          </w:tcPr>
          <w:p>
            <w:pPr>
              <w:ind w:left="20"/>
              <w:spacing w:after="0"/>
              <w:rPr>
                <w:sz w:val="20"/>
                <w:szCs w:val="20"/>
                <w:color w:val="auto"/>
              </w:rPr>
            </w:pPr>
            <w:r>
              <w:rPr>
                <w:rFonts w:ascii="Arial" w:cs="Arial" w:eastAsia="Arial" w:hAnsi="Arial"/>
                <w:sz w:val="18"/>
                <w:szCs w:val="18"/>
                <w:color w:val="auto"/>
              </w:rPr>
              <w:t>(d)</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148,965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Principal</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Accounting</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2011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116,933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116,933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a cash bonus in the amount of $48,000.</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a stock grant of 84,658 shares of common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options to purchase 62,500 shares of common stock at a price of $1.60 per share.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cash payments for health care benefits.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a bonus of $45,250, payable in cash, and $45,250 payable in cash or shares, at the discretion of the officer</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bonus payment of $34,650, payable in cash or shares, at the discretion of the officer.</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a cash bonus of $145,000 and 47,385 shares of common stock at a price of $1.462 per share.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Consists of options to purchase 62,500 shares of common stock at a price of $1.60 per share, and options to purchase 100,000 shares of common stock at</w:t>
      </w:r>
    </w:p>
    <w:p>
      <w:pPr>
        <w:spacing w:after="0" w:line="32"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price of $0.35 per share.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a cash portion of $21,140 and 57,135 shares of common stock valued at $0.37 per share.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a cash bonus in the amount of $50,000.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a stock grant of 39,474 shares of common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options to purchase 25,000 shares of common stock at a price of $0.40 per share.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a cash bonus of $25,000.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services performed in 2011; also includes options to purchase 100,000 shares of common stock at $0.35 per share for services performed in 2012.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10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gridSpan w:val="13"/>
          </w:tcPr>
          <w:p>
            <w:pPr>
              <w:jc w:val="right"/>
              <w:ind w:right="550"/>
              <w:spacing w:after="0"/>
              <w:rPr>
                <w:sz w:val="20"/>
                <w:szCs w:val="20"/>
                <w:color w:val="auto"/>
              </w:rPr>
            </w:pPr>
            <w:r>
              <w:rPr>
                <w:rFonts w:ascii="Arial" w:cs="Arial" w:eastAsia="Arial" w:hAnsi="Arial"/>
                <w:sz w:val="18"/>
                <w:szCs w:val="18"/>
                <w:b w:val="1"/>
                <w:bCs w:val="1"/>
                <w:color w:val="auto"/>
                <w:w w:val="99"/>
              </w:rPr>
              <w:t>Outstanding Equity Awards at Fiscal Year-End as of December 31, 2013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Option Awards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Stock Awards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28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28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28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28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28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Securities</w:t>
            </w:r>
          </w:p>
        </w:tc>
        <w:tc>
          <w:tcPr>
            <w:tcW w:w="3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or</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Units or</w:t>
            </w:r>
          </w:p>
        </w:tc>
        <w:tc>
          <w:tcPr>
            <w:tcW w:w="28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Underlying</w:t>
            </w:r>
          </w:p>
        </w:tc>
        <w:tc>
          <w:tcPr>
            <w:tcW w:w="3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Securities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Units of</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3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Underlying</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Stock That</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28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Options</w:t>
            </w:r>
          </w:p>
        </w:tc>
        <w:tc>
          <w:tcPr>
            <w:tcW w:w="3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Unexercised</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5"/>
              </w:rPr>
              <w:t>Unexercised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Option</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Option</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5"/>
              </w:rPr>
              <w:t>That Have</w:t>
            </w:r>
          </w:p>
        </w:tc>
        <w:tc>
          <w:tcPr>
            <w:tcW w:w="22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That Have</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That Have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Options (#)</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Expiration</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Vested</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87"/>
              </w:rPr>
              <w:t>Not Vested</w:t>
            </w:r>
          </w:p>
        </w:tc>
        <w:tc>
          <w:tcPr>
            <w:tcW w:w="22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Not Vested</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Not Vested</w:t>
            </w:r>
          </w:p>
        </w:tc>
        <w:tc>
          <w:tcPr>
            <w:tcW w:w="0" w:type="dxa"/>
            <w:vAlign w:val="bottom"/>
          </w:tcPr>
          <w:p>
            <w:pPr>
              <w:spacing w:after="0"/>
              <w:rPr>
                <w:sz w:val="1"/>
                <w:szCs w:val="1"/>
                <w:color w:val="auto"/>
              </w:rPr>
            </w:pPr>
          </w:p>
        </w:tc>
      </w:tr>
      <w:tr>
        <w:trPr>
          <w:trHeight w:val="234"/>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Exercisable</w:t>
            </w:r>
          </w:p>
        </w:tc>
        <w:tc>
          <w:tcPr>
            <w:tcW w:w="32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Unexercisable</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Price ($)</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Sam Klepfish</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0.350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05/04/17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Sam Klepfish</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0.350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12/31/17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92"/>
              </w:rPr>
              <w:t>Sam Klepfish</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62,500</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1.600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01/01/18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Sam Klepfish</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0.400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01/01/17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92"/>
              </w:rPr>
              <w:t>Sam Klepfish</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0.400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01/01/17</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Sam Klepfish</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0.570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01/01/18</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92"/>
              </w:rPr>
              <w:t>Sam Klepfish</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62,500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1.600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01/01/18</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Justin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Wiernasz</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160,000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0.446 (b)</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 (c)</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Justin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Wiernasz</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0.350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05/04/17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Justin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Wiernasz</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0.350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12/31/17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Justin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Wiernasz</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62,500</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1.600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01/01/18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Justin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Wiernasz</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0.400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01/01/17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Justin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Wiernasz</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0.400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01/01/17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Justin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Wiernasz</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0.570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01/01/18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Justin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Wiernasz</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62,500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1.600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01/01/18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McDonald</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 (c)</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John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McDonald</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0.400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01/01/17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McDonald</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0.400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01/01/17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John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McDonald</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0.400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01/01/17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McDonald</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0.570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01/01/18</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John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McDonald</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1.600</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01/01/18</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McDonald</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1.600</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01/01/18</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Options vest at the rate of 25% each quarter beginning March 31, 2010</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Weighted-average exercise price.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 term is 5 years from the date of vesting.</w:t>
      </w:r>
    </w:p>
    <w:p>
      <w:pPr>
        <w:sectPr>
          <w:pgSz w:w="11900" w:h="16838" w:orient="portrait"/>
          <w:cols w:equalWidth="0" w:num="1">
            <w:col w:w="11420"/>
          </w:cols>
          <w:pgMar w:left="240" w:top="114"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18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ind w:left="40"/>
              <w:spacing w:after="0"/>
              <w:rPr>
                <w:sz w:val="20"/>
                <w:szCs w:val="20"/>
                <w:color w:val="auto"/>
              </w:rPr>
            </w:pPr>
            <w:r>
              <w:rPr>
                <w:rFonts w:ascii="Arial" w:cs="Arial" w:eastAsia="Arial" w:hAnsi="Arial"/>
                <w:sz w:val="18"/>
                <w:szCs w:val="18"/>
                <w:b w:val="1"/>
                <w:bCs w:val="1"/>
                <w:color w:val="auto"/>
              </w:rPr>
              <w:t>Director Compensation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82"/>
              </w:rPr>
              <w:t>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Earned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Incentive Plan</w:t>
            </w: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89"/>
              </w:rPr>
              <w:t>Compensation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or Paid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 (post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 (post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41"/>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in Cash ($)</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reverse-split)</w:t>
            </w: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reverse-split)</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Gold</w:t>
            </w:r>
          </w:p>
        </w:tc>
        <w:tc>
          <w:tcPr>
            <w:tcW w:w="11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Michael Ferrone (1)</w:t>
            </w:r>
          </w:p>
        </w:tc>
        <w:tc>
          <w:tcPr>
            <w:tcW w:w="11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897"/>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 Klepfish</w:t>
            </w:r>
          </w:p>
        </w:tc>
        <w:tc>
          <w:tcPr>
            <w:tcW w:w="11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Solomon Mayer</w:t>
            </w:r>
          </w:p>
        </w:tc>
        <w:tc>
          <w:tcPr>
            <w:tcW w:w="11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897"/>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Hank Cohn</w:t>
            </w:r>
          </w:p>
        </w:tc>
        <w:tc>
          <w:tcPr>
            <w:tcW w:w="11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Justin Wiernasz (2)</w:t>
            </w:r>
          </w:p>
        </w:tc>
        <w:tc>
          <w:tcPr>
            <w:tcW w:w="11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46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1"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March 20, 2013, Mr. Michael Ferrone informed the Company’s Board of Directors that he was resigning, effective immediately.</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Wiernasz became a director of the Company effective November 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subsidiary, Food Innovations, has employment agreements with certain officers and certain employees. The employment agreements provide for salaries and benefits, including stock grants and extend up to five years. In addition to salary and benefit provisions, the agreements include defined commitments should the employer terminate the employee with or without cause.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6, 2010 (with an effective date of January 1, 2010), we entered into a three year employment agreement with our Chief Executive Officer, Sam Klepfish. The agreement provides for, among other things, (i) average annual salary of $151,000 from January 1, 2010 through December 31, 2010, of which $6,500 shall be accrued until June 20, 2010, and then payable in equal weekly installments until said $6,500 is paid in full by December 31, 2010; (ii) $165,000 per annum from January 1, 2011 through December 31, 2011, provided, however that the increase of $14,000 shall only take affect if the Company’s gross annual sales for 2010 are at least $7.5 million; and (iii) the lesser of a 10% increase in salary above the salary in 2011 or $181,000 per annum from January 1, 2012 through December 31, 2012, provided, however, the increase in 2012 shall only take effect if the Company’s gross annual sales for 2011 are at least $7.5 million.</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Klepfish is also entitled to receive an annual bonus based upon the consolidated aggregate incremental revenues of the Company (payable one-half in cash and one-half in stock) in the range of 7%-50% of salary based upon the registrant meeting certain revenue and gross margin milestones. In September 2011, our board of directors modified the compensation arrangements for Mr. Klepfish such that his bonuses due and payable then may, at the option of Mr. Klepfish, be paid in any combination of cash or stock Mr. Klepfish desires with such decision to be made within five business days of being advised of the size of the bonus, if any, he is entitled to receive, it being agreed that a determination for one year shall not be binding upon any future year. The board also provided that in the event the Corporation sells a subsidiary, or substantially all of the assets of a subsidiary, Mr. Klepfish shall be entitled to a cash bonus equal to 2%, of the purchase price, provided that he is then an employee of the Company or one of its subsidiaries.</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20, 2012 we entered into an employment agreement with Mr. Klepfish having an effective date of January 1, 2013 and terminating on December 31, 2015. The agreement provides a base compensation in the amount of $198,312 in cash plus an additional $27,937 in restricted stock units for year one, $223,987 in cash plus an additional $24,875 in restricted stock units for year two, and $260,075 in cash plus an additional $13,688 in restricted stock units for year three. The agreement also provides for annual bonuses including bonuses based on increases in EBITDA (as defined in the agreement) of our various subsidiaries; additional bonuses upon the occurrence of certain events such as: listing on specific stock exchanges, spin-offs, investments and stock trading and volume levels. The agreement also provides for stock options with exercise prices ranging from $0.40 - $1.60 and an award of restricted stock, which only vests if certain volume and pricing milestones with respect to our common stock are met. Mr. Klepfish also has the option of receiving any portion of his salary or bonus in the form of equity. The agreement also contains non-compete and non-solicitation provisions.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JUSTIN WIERNASZ</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6, 2010 (with an effective date of January 1, 2010), we entered into a three year employment agreement with our President, Justin Wiernasz. The agreement provides for, among other things, (i) average annual salary of $151,000 from January 1, 2010 through December 31, 2010, of which $6,500 shall be accrued until June 20, 2010, and then payable in equal weekly installments until the $6,500 is paid in full by December 31, 2010; (ii) $165,000 per annum from January 1, 2011 through December 31, 2011, provided, however that the increase of $14,000 shall only take affect if the Company’s gross annual sales for 2010 are at least $7.5 million; and (iii) the lesser of a 10% increase in salary above the salary in 2011 or $181,000 per annum from January 1, 2012 through December 31, 2012, provided, however, the increase in 2012 shall only take effect if the Company’s gross annual sales for 2011 are at least $7.5 million.</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Wiernasz is also entitled to receive an annual bonus based upon the consolidated aggregate incremental revenues of the Company (payable one-half in cash and one-half in stock) in the range of 7%-50% of salary based upon the registrant meeting certain revenue and gross margin milestones. In September 2011, our board of directors modified the compensation arrangements for Mr. Wiernasz such that his bonuses due and payable then may, at the option of Mr. Wiernasz, be paid in any combination of cash or stock Mr. Wiernasz desires with such decision to be made within five business days of being advised of the size of the bonus, if any, he is entitled to receive, it being agreed that a determination for one year shall not be binding upon any future year. The board also provided that in the event the Corporation sells a subsidiary, or substantially all of the assets of a subsidiary, Mr. Wiernasz shall be entitled to a cash bonus equal to 3%, of the purchase price, provided he is then an employee of the Company or one of its subsidiaries.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20, 2012 we entered into an employment agreement with Mr. Wiernasz having an effective date of January 1, 2013 and terminating on December 31, 2015 The agreement is for a term of three years, and provides a base compensation in the amount of $226,250 per annum for year one, $248,875 per annum for year two, and $273,763 per annum for year three. The agreement also provides for annual bonuses including bonuses based on increases in EBITDA (as defined in the agreement) of our various subsidiaries; additional bonuses upon the occurrence of certain events such as: listing on specific stock exchanges, spin-offs, investments and stock trading and volume levels. The agreement also provides for stock options with exercise prices ranging from $0.40 - $1.60 and an award of restricted stock, which only vests if certain volume and pricing milestones with respect to our common stock are met. Mr. Wiernasz also has the option of receiving any portion of his salary or bonus in the form of equity. The agreement also contains non-compete and non-solicitation provisions.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our executive officers has served as a director or member of a compensation committee (or other board committee performing equivalent functions) of any other entity, one of whose executive officers served as a director or a member of our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certain information as of March 24, 2014 with respect to the beneficial ownership of our common stock by (1) each person known by us to own beneficially more than 5% of the outstanding shares of our common stock, (2) each of our directors, (3) each Named Officer, and (4) all our directors and executive officers as a group. Unless otherwise stated, each person listed below uses the Company’s address. Pursuant to SEC rules, includes shares that the person has the right to receive within 60 days from March 24, 2014.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Percent of Class</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Sam Klepfish</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1,222,548</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Michael Ferrone</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w:t>
            </w:r>
          </w:p>
        </w:tc>
        <w:tc>
          <w:tcPr>
            <w:tcW w:w="1360" w:type="dxa"/>
            <w:vAlign w:val="bottom"/>
          </w:tcPr>
          <w:p>
            <w:pPr>
              <w:jc w:val="right"/>
              <w:spacing w:after="0"/>
              <w:rPr>
                <w:sz w:val="20"/>
                <w:szCs w:val="20"/>
                <w:color w:val="auto"/>
              </w:rPr>
            </w:pPr>
            <w:r>
              <w:rPr>
                <w:rFonts w:ascii="Arial" w:cs="Arial" w:eastAsia="Arial" w:hAnsi="Arial"/>
                <w:sz w:val="18"/>
                <w:szCs w:val="18"/>
                <w:color w:val="auto"/>
              </w:rPr>
              <w:t>1,619,282</w:t>
            </w:r>
          </w:p>
        </w:tc>
        <w:tc>
          <w:tcPr>
            <w:tcW w:w="2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Joel Gold</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489,054</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Solomon Mayer</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Hank Cohn</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Justin Wiernasz</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(6)</w:t>
            </w:r>
          </w:p>
        </w:tc>
        <w:tc>
          <w:tcPr>
            <w:tcW w:w="1360" w:type="dxa"/>
            <w:vAlign w:val="bottom"/>
          </w:tcPr>
          <w:p>
            <w:pPr>
              <w:jc w:val="right"/>
              <w:spacing w:after="0"/>
              <w:rPr>
                <w:sz w:val="20"/>
                <w:szCs w:val="20"/>
                <w:color w:val="auto"/>
              </w:rPr>
            </w:pPr>
            <w:r>
              <w:rPr>
                <w:rFonts w:ascii="Arial" w:cs="Arial" w:eastAsia="Arial" w:hAnsi="Arial"/>
                <w:sz w:val="18"/>
                <w:szCs w:val="18"/>
                <w:color w:val="auto"/>
              </w:rPr>
              <w:t>685,000</w:t>
            </w:r>
          </w:p>
        </w:tc>
        <w:tc>
          <w:tcPr>
            <w:tcW w:w="2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Christopher Brown</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492,200</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Alpha Capital Anstalt</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(8)</w:t>
            </w:r>
          </w:p>
        </w:tc>
        <w:tc>
          <w:tcPr>
            <w:tcW w:w="1360" w:type="dxa"/>
            <w:vAlign w:val="bottom"/>
          </w:tcPr>
          <w:p>
            <w:pPr>
              <w:jc w:val="right"/>
              <w:spacing w:after="0"/>
              <w:rPr>
                <w:sz w:val="20"/>
                <w:szCs w:val="20"/>
                <w:color w:val="auto"/>
              </w:rPr>
            </w:pPr>
            <w:r>
              <w:rPr>
                <w:rFonts w:ascii="Arial" w:cs="Arial" w:eastAsia="Arial" w:hAnsi="Arial"/>
                <w:sz w:val="18"/>
                <w:szCs w:val="18"/>
                <w:color w:val="auto"/>
              </w:rPr>
              <w:t>404,365</w:t>
            </w:r>
          </w:p>
        </w:tc>
        <w:tc>
          <w:tcPr>
            <w:tcW w:w="2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Ian J. Cassel</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408,303</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73114 Investments LLC</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397,111</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All officers and directors as a whole (6 persons)</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4,786,731</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1440" w:type="dxa"/>
            <w:vAlign w:val="bottom"/>
          </w:tcPr>
          <w:p>
            <w:pPr>
              <w:spacing w:after="0"/>
              <w:rPr>
                <w:sz w:val="18"/>
                <w:szCs w:val="18"/>
                <w:color w:val="auto"/>
              </w:rPr>
            </w:pPr>
          </w:p>
        </w:tc>
      </w:tr>
      <w:tr>
        <w:trPr>
          <w:trHeight w:val="581"/>
        </w:trPr>
        <w:tc>
          <w:tcPr>
            <w:tcW w:w="1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ind w:left="660" w:hanging="290"/>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55,000 shares of common stock held by Mr. Klepfish; options to purchase 525,000 shares of the Company's common stock, and 642,548 shares for a note payable and accrued interest on the note. Does not include 18,200 shares of common stock issuable as of December 31, 2009 as compensation for services performed in 2009, and 57,135 shares of common stock issuable as compensation for services performed in 2010, 84,658 shares for services performed in 2013, and 17,014 shares for services to be performed in 2014. Upon the issuance of these shares, Mr. Klepfish will beneficially own 16.5% of the outstanding shares.</w:t>
      </w:r>
    </w:p>
    <w:p>
      <w:pPr>
        <w:spacing w:after="0" w:line="188" w:lineRule="exact"/>
        <w:rPr>
          <w:rFonts w:ascii="Arial" w:cs="Arial" w:eastAsia="Arial" w:hAnsi="Arial"/>
          <w:sz w:val="18"/>
          <w:szCs w:val="18"/>
          <w:color w:val="auto"/>
        </w:rPr>
      </w:pPr>
    </w:p>
    <w:p>
      <w:pPr>
        <w:jc w:val="both"/>
        <w:ind w:left="660" w:hanging="290"/>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1,325,232 shares of common stock held by Mr. Ferrone; and options to purchase 380,000 shares of the Company's common stock held by Mr. Ferrone. On March 20, 2013, Mr. Ferrone informed the Company’s Board of Directors that he was resigning, effective immediately. Mr. Ferrone’s address is Box 2484, 119 Alpine Avenue, Oak Bluffs, MA 02557.</w:t>
      </w:r>
    </w:p>
    <w:p>
      <w:pPr>
        <w:spacing w:after="0" w:line="181" w:lineRule="exact"/>
        <w:rPr>
          <w:rFonts w:ascii="Arial" w:cs="Arial" w:eastAsia="Arial" w:hAnsi="Arial"/>
          <w:sz w:val="18"/>
          <w:szCs w:val="18"/>
          <w:color w:val="auto"/>
        </w:rPr>
      </w:pPr>
    </w:p>
    <w:p>
      <w:pPr>
        <w:ind w:left="660" w:right="20" w:hanging="2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509,054 shares of common stock held by Mr. Gold, and options to purchase 380,000 shares of common stock. Also includes 18,400 shares of common stock held by Mr. Gold’s spouse.</w:t>
      </w:r>
    </w:p>
    <w:p>
      <w:pPr>
        <w:spacing w:after="0" w:line="170" w:lineRule="exact"/>
        <w:rPr>
          <w:rFonts w:ascii="Arial" w:cs="Arial" w:eastAsia="Arial" w:hAnsi="Arial"/>
          <w:sz w:val="18"/>
          <w:szCs w:val="18"/>
          <w:color w:val="auto"/>
        </w:rPr>
      </w:pPr>
    </w:p>
    <w:p>
      <w:pPr>
        <w:ind w:left="660" w:hanging="290"/>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options to purchase 200,000 shares of common stock held by Mr. Mayer. Does not include 5,000 shares issuable for services as a board member for 2010, but not yet issued. Upon issuance of these shares, Mr. Mayer will beneficially own 2.8% of the shares outstanding.</w:t>
      </w:r>
    </w:p>
    <w:p>
      <w:pPr>
        <w:spacing w:after="0" w:line="146" w:lineRule="exact"/>
        <w:rPr>
          <w:rFonts w:ascii="Arial" w:cs="Arial" w:eastAsia="Arial" w:hAnsi="Arial"/>
          <w:sz w:val="17"/>
          <w:szCs w:val="17"/>
          <w:color w:val="auto"/>
        </w:rPr>
      </w:pPr>
    </w:p>
    <w:p>
      <w:pPr>
        <w:ind w:left="660" w:hanging="290"/>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options to purchase 200,000 shares of common stock held by Mr. Cohn. Does not include 5,000 shares issuable for services as a board member for 2010, but not yet issued. Upon issuance of these shares, Mr. Cohn will beneficially own 2.8% of the shares outstanding.</w:t>
      </w:r>
    </w:p>
    <w:p>
      <w:pPr>
        <w:spacing w:after="0" w:line="146" w:lineRule="exact"/>
        <w:rPr>
          <w:rFonts w:ascii="Arial" w:cs="Arial" w:eastAsia="Arial" w:hAnsi="Arial"/>
          <w:sz w:val="17"/>
          <w:szCs w:val="17"/>
          <w:color w:val="auto"/>
        </w:rPr>
      </w:pPr>
    </w:p>
    <w:p>
      <w:pPr>
        <w:jc w:val="both"/>
        <w:ind w:left="660" w:hanging="290"/>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options to purchase 685,000 shares of common stock held by Mr. Wiernasz. Does not include 60,000 shares to be issued for services performed in 2008, 19,320 shares to be issued for services performed in 2009, and 57,135 shares to be issued for services performed in 2010, and 47,385 shares for services performed in 2013. Upon the issuance of these shares, Mr. Wiernasz will beneficially own 8.8% of the outstanding shares.</w:t>
      </w:r>
    </w:p>
    <w:p>
      <w:pPr>
        <w:spacing w:after="0" w:line="146" w:lineRule="exact"/>
        <w:rPr>
          <w:rFonts w:ascii="Arial" w:cs="Arial" w:eastAsia="Arial" w:hAnsi="Arial"/>
          <w:sz w:val="16"/>
          <w:szCs w:val="16"/>
          <w:color w:val="auto"/>
        </w:rPr>
      </w:pPr>
    </w:p>
    <w:p>
      <w:pPr>
        <w:ind w:left="660" w:right="140" w:hanging="290"/>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Brown resigned as a member of our Board of Directors on May 23, 2011. The most recent address we have on file is 16902 Harbor Master CV, Cornelius, NC 28031. We have not received any updated information from Dr. Brown with respect to his shareholdings since our annual report for 2011 was filed.</w:t>
      </w:r>
    </w:p>
    <w:p>
      <w:pPr>
        <w:spacing w:after="0" w:line="181" w:lineRule="exact"/>
        <w:rPr>
          <w:rFonts w:ascii="Arial" w:cs="Arial" w:eastAsia="Arial" w:hAnsi="Arial"/>
          <w:sz w:val="18"/>
          <w:szCs w:val="18"/>
          <w:color w:val="auto"/>
        </w:rPr>
      </w:pPr>
    </w:p>
    <w:p>
      <w:pPr>
        <w:jc w:val="both"/>
        <w:ind w:left="660" w:hanging="290"/>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404,365 shares (post reverse-split) of common stock held by Alpha Capital. Excludes shares underlying warrants and convertible notes which are subject to a 9.99% blocker provision. The address of its principal business is Pradafant 7, Furstentums 9490, Vaduzm Liechtenstein. Information gathered from a Schedule 13G filed with the Securities and Exchange Commission on February 15, 2012.</w:t>
      </w:r>
    </w:p>
    <w:p>
      <w:pPr>
        <w:spacing w:after="0" w:line="165" w:lineRule="exact"/>
        <w:rPr>
          <w:rFonts w:ascii="Arial" w:cs="Arial" w:eastAsia="Arial" w:hAnsi="Arial"/>
          <w:sz w:val="17"/>
          <w:szCs w:val="17"/>
          <w:color w:val="auto"/>
        </w:rPr>
      </w:pPr>
    </w:p>
    <w:p>
      <w:pPr>
        <w:ind w:left="660" w:right="20" w:hanging="2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408,303 shares held by Mr. Cassel. Mr. Cassel’s address is 221 Fieldcrest Lane, Ephrata, PA 17522. Information gathered from a Schedule 13G/A filed with the Securities and Exchange Commission on January 21, 2014.</w:t>
      </w:r>
    </w:p>
    <w:p>
      <w:pPr>
        <w:spacing w:after="0" w:line="170" w:lineRule="exact"/>
        <w:rPr>
          <w:rFonts w:ascii="Arial" w:cs="Arial" w:eastAsia="Arial" w:hAnsi="Arial"/>
          <w:sz w:val="18"/>
          <w:szCs w:val="18"/>
          <w:color w:val="auto"/>
        </w:rPr>
      </w:pPr>
    </w:p>
    <w:p>
      <w:pPr>
        <w:ind w:left="660" w:hanging="380"/>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269,000 shares with sole voting and dispositive power and 128,111 shares with shared voting and dispositive power. Address is 13401 Railway Drive, Oklahoma City, OK 73114. All information gathered from a Schedule 13G/A filed with the Securities and Exchange Commission on February 6, 2014.</w:t>
      </w:r>
    </w:p>
    <w:p>
      <w:pPr>
        <w:spacing w:after="0" w:line="181" w:lineRule="exact"/>
        <w:rPr>
          <w:rFonts w:ascii="Arial" w:cs="Arial" w:eastAsia="Arial" w:hAnsi="Arial"/>
          <w:sz w:val="18"/>
          <w:szCs w:val="18"/>
          <w:color w:val="auto"/>
        </w:rPr>
      </w:pPr>
    </w:p>
    <w:p>
      <w:pPr>
        <w:jc w:val="both"/>
        <w:ind w:left="660" w:hanging="373"/>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1,889,286 shares of common stock held by officers and directors. Also includes 3,012,548 shares underlying options, convertible notes or shares issuable as accrued interest upon outstanding notes. Does not include an aggregate of an additional 370,847 shares committed by the Company to be issued. Upon issuance of such shares the group will beneficially own 50.2% of the outstanding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currently subject to the requirements of any stock exchange or national securities association with respect to having a majority of “independent directors” although we believe that we meet the standard established by NASDAQ inasmuch as Messrs. Gold, Mayer, and Cohn, are “independent” and only Messrs. Klepfish and Wiernasz,, by virtue of being our Executive Officers, are not independent. Mr. Klepfish and Mr. Wiernasz do not participate in board discussions concerning their compensation.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Fees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engaged Liggett, Vogt &amp; Webb P.A. (“LVW”) as our new independent registered public accounting firm as of November 9, 2012. During the year ended December 31, 2012, LVW billed us $45,500 for the audit of our annual consolidated financial statements for the year ended December 31, 2012 included in our Form 10-K. During the year ended December 31, 2013, LVW billed us $67,200 for the audit of our annual consolidated financial statements for the year ended December 31, 2013 included in our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Audit-Related Fees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aggregate fees billed in each of the last two fiscal years for assurance and related services by LVW that are reasonably related to the performance of the audit or review of our consolidated financial statements including our quarterly interim reviews on Form 10-Q and are reported under Audit Fees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LVW tax fees were $5,500 and $5,500 for the years ended December 31,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 Fees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LVW has not billed any other fees since their engagement on November 9, 2012.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604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10740" w:type="dxa"/>
            <w:vAlign w:val="bottom"/>
          </w:tcPr>
          <w:p>
            <w:pPr>
              <w:ind w:left="360"/>
              <w:spacing w:after="0"/>
              <w:rPr>
                <w:sz w:val="20"/>
                <w:szCs w:val="20"/>
                <w:color w:val="auto"/>
              </w:rPr>
            </w:pPr>
            <w:r>
              <w:rPr>
                <w:rFonts w:ascii="Arial" w:cs="Arial" w:eastAsia="Arial" w:hAnsi="Arial"/>
                <w:sz w:val="18"/>
                <w:szCs w:val="18"/>
                <w:color w:val="auto"/>
                <w:w w:val="97"/>
              </w:rPr>
              <w:t>Articles of Incorporation (incorporated by reference to exhibit 3.1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10740" w:type="dxa"/>
            <w:vAlign w:val="bottom"/>
          </w:tcPr>
          <w:p>
            <w:pPr>
              <w:ind w:left="360"/>
              <w:spacing w:after="0"/>
              <w:rPr>
                <w:sz w:val="20"/>
                <w:szCs w:val="20"/>
                <w:color w:val="auto"/>
              </w:rPr>
            </w:pPr>
            <w:r>
              <w:rPr>
                <w:rFonts w:ascii="Arial" w:cs="Arial" w:eastAsia="Arial" w:hAnsi="Arial"/>
                <w:sz w:val="18"/>
                <w:szCs w:val="18"/>
                <w:color w:val="auto"/>
                <w:w w:val="94"/>
              </w:rPr>
              <w:t>Amended Bylaws of the Company (incorporated by reference to exhibit 3.2 of the Company’s annual report Form 10-K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2010 filed with the Securities and Exchange Commission on March 16, 2011).</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Form of Convertible Note (incorporated by reference to exhibit 4.1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Form of Convertible Note (incorporated by reference to exhibit 4.2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4.3</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Form of Warrant - Class A (incorporated by reference to exhibit 4.3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4.4</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Form of Warrant - Class B (incorporated by reference to exhibit 4.4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4.5</w:t>
            </w:r>
          </w:p>
        </w:tc>
        <w:tc>
          <w:tcPr>
            <w:tcW w:w="10740" w:type="dxa"/>
            <w:vAlign w:val="bottom"/>
          </w:tcPr>
          <w:p>
            <w:pPr>
              <w:ind w:left="360"/>
              <w:spacing w:after="0"/>
              <w:rPr>
                <w:sz w:val="20"/>
                <w:szCs w:val="20"/>
                <w:color w:val="auto"/>
              </w:rPr>
            </w:pPr>
            <w:r>
              <w:rPr>
                <w:rFonts w:ascii="Arial" w:cs="Arial" w:eastAsia="Arial" w:hAnsi="Arial"/>
                <w:sz w:val="18"/>
                <w:szCs w:val="18"/>
                <w:color w:val="auto"/>
                <w:w w:val="95"/>
              </w:rPr>
              <w:t>Form of Warrant - Class C (incorporated by reference to exhibit 4.5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4.6</w:t>
            </w:r>
          </w:p>
        </w:tc>
        <w:tc>
          <w:tcPr>
            <w:tcW w:w="10740" w:type="dxa"/>
            <w:vAlign w:val="bottom"/>
          </w:tcPr>
          <w:p>
            <w:pPr>
              <w:ind w:left="360"/>
              <w:spacing w:after="0"/>
              <w:rPr>
                <w:sz w:val="20"/>
                <w:szCs w:val="20"/>
                <w:color w:val="auto"/>
              </w:rPr>
            </w:pPr>
            <w:r>
              <w:rPr>
                <w:rFonts w:ascii="Arial" w:cs="Arial" w:eastAsia="Arial" w:hAnsi="Arial"/>
                <w:sz w:val="18"/>
                <w:szCs w:val="18"/>
                <w:color w:val="auto"/>
                <w:w w:val="92"/>
              </w:rPr>
              <w:t>Secured Convertible Promissory Note dated December 31, 2008 in favor of Alpha Capital Anstalt (incorporated by reference to exhibit 10.1 of</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the Company’s Current Report on Form 8-K filed with the Securities and Exchange Commission on January 7, 2009).</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4.7</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Class B Common Stock Purchase Warrant dated December 31, 2008 in favor of Alpha Capital Anstalt (incorporated by reference to exhibit</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10.2 of the Company’s Current Report on Form 8-K filed with the Securities and Exchange Commission on January 7, 2009).</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4.8</w:t>
            </w:r>
          </w:p>
        </w:tc>
        <w:tc>
          <w:tcPr>
            <w:tcW w:w="10740" w:type="dxa"/>
            <w:vAlign w:val="bottom"/>
          </w:tcPr>
          <w:p>
            <w:pPr>
              <w:ind w:left="360"/>
              <w:spacing w:after="0"/>
              <w:rPr>
                <w:sz w:val="20"/>
                <w:szCs w:val="20"/>
                <w:color w:val="auto"/>
              </w:rPr>
            </w:pPr>
            <w:r>
              <w:rPr>
                <w:rFonts w:ascii="Arial" w:cs="Arial" w:eastAsia="Arial" w:hAnsi="Arial"/>
                <w:sz w:val="18"/>
                <w:szCs w:val="18"/>
                <w:color w:val="auto"/>
                <w:w w:val="91"/>
              </w:rPr>
              <w:t>Subscription Agreement between the Registrant and Alpha Capital Anstalt dated December 31, 2008 (incorporated by reference to exhibit 10.3</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of the Company’s Current Report on Form 8-K filed with the Securities and Exchange Commission on January 7, 2009).</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4.9</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Amendment, Waiver, and Consent Agreement effective January 1, 2009 between the Registrant and Alpha Capital Anstalt (incorporated by</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4"/>
              </w:rPr>
              <w:t>reference to exhibit 10.4 of the Company’s Current Report on Form 8-K filed with the Securities and Exchange Commission on January 7,</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2009).</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740" w:type="dxa"/>
            <w:vAlign w:val="bottom"/>
          </w:tcPr>
          <w:p>
            <w:pPr>
              <w:ind w:left="360"/>
              <w:spacing w:after="0"/>
              <w:rPr>
                <w:sz w:val="20"/>
                <w:szCs w:val="20"/>
                <w:color w:val="auto"/>
              </w:rPr>
            </w:pPr>
            <w:r>
              <w:rPr>
                <w:rFonts w:ascii="Arial" w:cs="Arial" w:eastAsia="Arial" w:hAnsi="Arial"/>
                <w:sz w:val="18"/>
                <w:szCs w:val="18"/>
                <w:color w:val="auto"/>
                <w:w w:val="91"/>
              </w:rPr>
              <w:t>Lease of the Company's offices at Naples, Florida (incorporated by reference to exhibit 10.1 of the Company’s current report on Form 8-K filed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with the Securities and Exchange Commission on October 23, 2008).</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740" w:type="dxa"/>
            <w:vAlign w:val="bottom"/>
          </w:tcPr>
          <w:p>
            <w:pPr>
              <w:ind w:left="360"/>
              <w:spacing w:after="0"/>
              <w:rPr>
                <w:sz w:val="20"/>
                <w:szCs w:val="20"/>
                <w:color w:val="auto"/>
              </w:rPr>
            </w:pPr>
            <w:r>
              <w:rPr>
                <w:rFonts w:ascii="Arial" w:cs="Arial" w:eastAsia="Arial" w:hAnsi="Arial"/>
                <w:sz w:val="18"/>
                <w:szCs w:val="18"/>
                <w:color w:val="auto"/>
                <w:w w:val="94"/>
              </w:rPr>
              <w:t>Security and Pledge Agreement – IVFH (incorporated by reference to exhibit 10.2 of the Company’s annual report on Form 10-KSB for the</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year ended 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740" w:type="dxa"/>
            <w:vAlign w:val="bottom"/>
          </w:tcPr>
          <w:p>
            <w:pPr>
              <w:ind w:left="360"/>
              <w:spacing w:after="0"/>
              <w:rPr>
                <w:sz w:val="20"/>
                <w:szCs w:val="20"/>
                <w:color w:val="auto"/>
              </w:rPr>
            </w:pPr>
            <w:r>
              <w:rPr>
                <w:rFonts w:ascii="Arial" w:cs="Arial" w:eastAsia="Arial" w:hAnsi="Arial"/>
                <w:sz w:val="18"/>
                <w:szCs w:val="18"/>
                <w:color w:val="auto"/>
                <w:w w:val="92"/>
              </w:rPr>
              <w:t>Security and Pledge Agreement – FII (incorporated by reference to exhibit 10.3 of the Company’s annual report on Form 10-KSB for the year</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ended 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740" w:type="dxa"/>
            <w:vAlign w:val="bottom"/>
          </w:tcPr>
          <w:p>
            <w:pPr>
              <w:ind w:left="360"/>
              <w:spacing w:after="0"/>
              <w:rPr>
                <w:sz w:val="20"/>
                <w:szCs w:val="20"/>
                <w:color w:val="auto"/>
              </w:rPr>
            </w:pPr>
            <w:r>
              <w:rPr>
                <w:rFonts w:ascii="Arial" w:cs="Arial" w:eastAsia="Arial" w:hAnsi="Arial"/>
                <w:sz w:val="18"/>
                <w:szCs w:val="18"/>
                <w:color w:val="auto"/>
                <w:w w:val="94"/>
              </w:rPr>
              <w:t>Supply Agreement with Next Day Gourmet, L.P. with Next Day Gourmet, L.P. (incorporated by reference to exhibit 10.4 of the Company’s</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2"/>
              </w:rPr>
              <w:t>annual report on Form 10-KSB for the year ended December 31, 2004 filed with the Securities and Exchange Commission on September 28,</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Subscription Agreement (incorporated by reference to exhibit 10.5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Agreement and Plan of Reorganization between IVFH and FII. (incorporated by reference to exhibit 10.6 of the Company’s annual report on</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9"/>
              </w:rPr>
              <w:t>Form 10-KSB for the year ended December 31, 2004 filed with the Securities and Exchange Commission on September 28, 2005).</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7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10680" w:type="dxa"/>
            <w:vAlign w:val="bottom"/>
          </w:tcPr>
          <w:p>
            <w:pPr>
              <w:spacing w:after="0"/>
              <w:rPr>
                <w:sz w:val="14"/>
                <w:szCs w:val="14"/>
                <w:color w:val="auto"/>
              </w:rPr>
            </w:pPr>
          </w:p>
        </w:tc>
      </w:tr>
      <w:tr>
        <w:trPr>
          <w:trHeight w:val="411"/>
        </w:trPr>
        <w:tc>
          <w:tcPr>
            <w:tcW w:w="3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1"/>
              </w:rPr>
              <w:t>10.7</w:t>
            </w:r>
          </w:p>
        </w:tc>
        <w:tc>
          <w:tcPr>
            <w:tcW w:w="400" w:type="dxa"/>
            <w:vAlign w:val="bottom"/>
          </w:tcPr>
          <w:p>
            <w:pPr>
              <w:spacing w:after="0"/>
              <w:rPr>
                <w:sz w:val="24"/>
                <w:szCs w:val="24"/>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Employment Agreement with Sam Klepfish dated as of January 6, 2010 (incorporated by reference to exhibit 10.5 of the Company’s Current</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Report on Form 8-K filed with the Securities and Exchange Commission on January 7, 2010).</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10.8</w:t>
            </w:r>
          </w:p>
        </w:tc>
        <w:tc>
          <w:tcPr>
            <w:tcW w:w="400" w:type="dxa"/>
            <w:vAlign w:val="bottom"/>
          </w:tcPr>
          <w:p>
            <w:pPr>
              <w:spacing w:after="0"/>
              <w:rPr>
                <w:sz w:val="24"/>
                <w:szCs w:val="24"/>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Employment Agreement with Justin Wiernasz dated as of January 6, 2010 (incorporated by reference to exhibit 10.5 of the Company’s Current</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Report on Form 8-K filed with the Securities and Exchange Commission on January 7, 2010).</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10.9</w:t>
            </w:r>
          </w:p>
        </w:tc>
        <w:tc>
          <w:tcPr>
            <w:tcW w:w="400" w:type="dxa"/>
            <w:vAlign w:val="bottom"/>
          </w:tcPr>
          <w:p>
            <w:pPr>
              <w:spacing w:after="0"/>
              <w:rPr>
                <w:sz w:val="24"/>
                <w:szCs w:val="24"/>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Employment Agreement with Sam Klepfish (incorporated by reference to exhibit 10.1 of the Company’s Form 10-Q filed with the Securities</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and Exchange Commission on November 21,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Employment Agreement Justin Wiernasz (incorporated by reference to exhibit 10.2 of the Company’s Form 10-Q filed with the Securities and</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Exchange Commission on November 21,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Subscription Agreement dated as of May 11, 2012 between the Registrant and Alpha Capital Anstalt (incorporated by reference to exhibit 10.1</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of the Company’s Current Report on Form 8-K filed with the Securities and Exchange Commission on May 17,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Secured Convertible Promissory Note dated as of May 11, 2012 of the registrant issued to Alpha Capital Anstalt (incorporated by reference to</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exhibit 10.1 of the Company’s Current Report on Form 8-K filed with the Securities and Exchange Commission on May 17,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Class E Common Stock Purchase Warrant issued to Alpha Capital Anstalt (incorporated by reference to exhibit 10.1 of the Company’s Current</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Report on Form 8-K filed with the Securities and Exchange Commission on May 17,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Class F Common Stock Purchase Warrant issued to Alpha Capital Anstalt (incorporated by reference to exhibit 10.2 of the Company’s Current</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Report on Form 8-K filed with the Securities and Exchange Commission on May 17,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Class G Common Stock Purchase Warrant issued to Alpha Capital Anstalt (incorporated by reference to exhibit 10.3 of the Company’s Current</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Report on Form 8-K filed with the Securities and Exchange Commission on May 17,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Class H Common Stock Purchase Warrant issued to Alpha Capital Anstalt (incorporated by reference to exhibit 10.4 of the Company’s Current</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Report on Form 8-K filed with the Securities and Exchange Commission on May 17,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Stock Purchase Agreement dated as of May 10, 2012 between the Registrant, Artisan Specialty Foods, Inc. and David Vohaska (incorporated</w:t>
            </w: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by reference to exhibit 10.1 of the Company’s Current Report on Form 8-K filed with the Securities and Exchange Commission on May 24,</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Lease dated May 7, 2012 between Artisan Specialty Foods, Inc. and David and Sherri Vohaska (incorporated by reference to exhibit 10.2 of the</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with the Securities and Exchange Commission on May 24,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Employment Agreement dated May 10, 2012 between Artisan Specialty Foods, Inc. and David Vohaska (incorporated by reference to exhibit</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10.3 of the Company’s Current Report on Form 8-K filed with the Securities and Exchange Commission on May 24, 2012)</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Loan Agreement between the registrant and Fifth Third Bank effective February 26, 2013 (incorporated by reference to exhibit 10.1 of the</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with the Securities and Exchange Commission on March 15, 2013)</w:t>
            </w: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Security Agreement between the registrant and Fifth Third Bank effective February 26, 2013. (incorporated by reference to exhibit 10.2 of the</w:t>
            </w: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with the Securities and Exchange Commission on March 15, 2013)</w:t>
            </w:r>
          </w:p>
        </w:tc>
      </w:tr>
    </w:tbl>
    <w:p>
      <w:pPr>
        <w:spacing w:after="0" w:line="202" w:lineRule="exact"/>
        <w:rPr>
          <w:sz w:val="20"/>
          <w:szCs w:val="20"/>
          <w:color w:val="auto"/>
        </w:rPr>
      </w:pPr>
    </w:p>
    <w:p>
      <w:pPr>
        <w:ind w:left="1040"/>
        <w:spacing w:after="0" w:line="277" w:lineRule="auto"/>
        <w:rPr>
          <w:sz w:val="20"/>
          <w:szCs w:val="20"/>
          <w:color w:val="auto"/>
        </w:rPr>
      </w:pPr>
      <w:r>
        <w:rPr>
          <w:rFonts w:ascii="Arial" w:cs="Arial" w:eastAsia="Arial" w:hAnsi="Arial"/>
          <w:sz w:val="18"/>
          <w:szCs w:val="18"/>
          <w:color w:val="auto"/>
        </w:rPr>
        <w:t>Mortgage by registrant in favor of Fifth Third Bank effective February 26, 2013. (incorporated by reference to exhibit 10.2 of the Company’s Current Report on Form 8-K filed with the Securities and Exchange Commission on March 15, 2013)</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1040" w:right="20" w:hanging="1039"/>
        <w:spacing w:after="0" w:line="277"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Note by registrant in favor of Fifth Third Bank effective February 26, 2013 (incorporated by reference to exhibit 10.3 of the Company’s Current Report on Form 8-K filed with the Securities and Exchange Commission on March 15, 2013)</w:t>
      </w:r>
    </w:p>
    <w:p>
      <w:pPr>
        <w:spacing w:after="0" w:line="170" w:lineRule="exact"/>
        <w:rPr>
          <w:sz w:val="20"/>
          <w:szCs w:val="20"/>
          <w:color w:val="auto"/>
        </w:rPr>
      </w:pPr>
    </w:p>
    <w:p>
      <w:pPr>
        <w:ind w:left="1040" w:hanging="1032"/>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Code of Ethics (incorporated by reference to exhibit 14 of the Company’s Form 10-KSB/A for the year ended December 31, 2006, filed with the Securities and Exchange Commission on July 31, 2008).</w:t>
      </w:r>
    </w:p>
    <w:p>
      <w:pPr>
        <w:spacing w:after="0" w:line="197" w:lineRule="exact"/>
        <w:rPr>
          <w:sz w:val="20"/>
          <w:szCs w:val="20"/>
          <w:color w:val="auto"/>
        </w:rPr>
      </w:pPr>
    </w:p>
    <w:p>
      <w:pPr>
        <w:ind w:left="1040" w:hanging="1032"/>
        <w:spacing w:after="0"/>
        <w:tabs>
          <w:tab w:leader="none" w:pos="1040" w:val="left"/>
        </w:tabs>
        <w:numPr>
          <w:ilvl w:val="0"/>
          <w:numId w:val="18"/>
        </w:numPr>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Subsidiaries of the Company</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40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Rule 13a-14(a) Certification of Chief Executive Officer</w:t>
              </w:r>
            </w:hyperlink>
          </w:p>
        </w:tc>
        <w:tc>
          <w:tcPr>
            <w:tcW w:w="360" w:type="dxa"/>
            <w:vAlign w:val="bottom"/>
            <w:gridSpan w:val="2"/>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43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Rule 13a-14(a) Certification of Principal Accounting Officer</w:t>
              </w:r>
            </w:hyperlink>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3680" w:type="dxa"/>
            <w:vAlign w:val="bottom"/>
            <w:tcBorders>
              <w:bottom w:val="single" w:sz="8" w:color="0000EE"/>
            </w:tcBorders>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Rule 1350 Certification of Chief Executive Officer</w:t>
              </w:r>
            </w:hyperlink>
          </w:p>
        </w:tc>
        <w:tc>
          <w:tcPr>
            <w:tcW w:w="700" w:type="dxa"/>
            <w:vAlign w:val="bottom"/>
            <w:gridSpan w:val="3"/>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4380" w:type="dxa"/>
            <w:vAlign w:val="bottom"/>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Rule 1350 Certification of Principal Accounting Officer</w:t>
              </w:r>
            </w:hyperlink>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0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INNOVATIVE FOOD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9906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spacing w:after="0"/>
              <w:rPr>
                <w:sz w:val="20"/>
                <w:szCs w:val="20"/>
                <w:color w:val="auto"/>
              </w:rPr>
            </w:pPr>
          </w:p>
        </w:tc>
        <w:tc>
          <w:tcPr>
            <w:tcW w:w="394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Title</w:t>
            </w:r>
          </w:p>
        </w:tc>
        <w:tc>
          <w:tcPr>
            <w:tcW w:w="9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140" w:type="dxa"/>
            <w:vAlign w:val="bottom"/>
          </w:tcPr>
          <w:p>
            <w:pPr>
              <w:spacing w:after="0"/>
              <w:rPr>
                <w:sz w:val="20"/>
                <w:szCs w:val="20"/>
                <w:color w:val="auto"/>
              </w:rPr>
            </w:pPr>
            <w:r>
              <w:rPr>
                <w:rFonts w:ascii="Arial" w:cs="Arial" w:eastAsia="Arial" w:hAnsi="Arial"/>
                <w:sz w:val="18"/>
                <w:szCs w:val="18"/>
                <w:color w:val="auto"/>
              </w:rPr>
              <w:t>/s/ Sam Klepfish</w:t>
            </w:r>
          </w:p>
        </w:tc>
        <w:tc>
          <w:tcPr>
            <w:tcW w:w="4860" w:type="dxa"/>
            <w:vAlign w:val="bottom"/>
            <w:gridSpan w:val="2"/>
          </w:tcPr>
          <w:p>
            <w:pPr>
              <w:ind w:left="920"/>
              <w:spacing w:after="0"/>
              <w:rPr>
                <w:sz w:val="20"/>
                <w:szCs w:val="20"/>
                <w:color w:val="auto"/>
              </w:rPr>
            </w:pPr>
            <w:r>
              <w:rPr>
                <w:rFonts w:ascii="Arial" w:cs="Arial" w:eastAsia="Arial" w:hAnsi="Arial"/>
                <w:sz w:val="18"/>
                <w:szCs w:val="18"/>
                <w:color w:val="auto"/>
              </w:rPr>
              <w:t>CEO and Director</w:t>
            </w:r>
          </w:p>
        </w:tc>
        <w:tc>
          <w:tcPr>
            <w:tcW w:w="9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30"/>
        </w:trPr>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Klepfish</w:t>
            </w:r>
          </w:p>
        </w:tc>
        <w:tc>
          <w:tcPr>
            <w:tcW w:w="92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92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r>
      <w:tr>
        <w:trPr>
          <w:trHeight w:val="425"/>
        </w:trPr>
        <w:tc>
          <w:tcPr>
            <w:tcW w:w="3140" w:type="dxa"/>
            <w:vAlign w:val="bottom"/>
          </w:tcPr>
          <w:p>
            <w:pPr>
              <w:spacing w:after="0"/>
              <w:rPr>
                <w:sz w:val="20"/>
                <w:szCs w:val="20"/>
                <w:color w:val="auto"/>
              </w:rPr>
            </w:pPr>
            <w:r>
              <w:rPr>
                <w:rFonts w:ascii="Arial" w:cs="Arial" w:eastAsia="Arial" w:hAnsi="Arial"/>
                <w:sz w:val="18"/>
                <w:szCs w:val="18"/>
                <w:color w:val="auto"/>
              </w:rPr>
              <w:t>/s/ John McDonald</w:t>
            </w:r>
          </w:p>
        </w:tc>
        <w:tc>
          <w:tcPr>
            <w:tcW w:w="4860" w:type="dxa"/>
            <w:vAlign w:val="bottom"/>
            <w:gridSpan w:val="2"/>
          </w:tcPr>
          <w:p>
            <w:pPr>
              <w:ind w:left="920"/>
              <w:spacing w:after="0"/>
              <w:rPr>
                <w:sz w:val="20"/>
                <w:szCs w:val="20"/>
                <w:color w:val="auto"/>
              </w:rPr>
            </w:pPr>
            <w:r>
              <w:rPr>
                <w:rFonts w:ascii="Arial" w:cs="Arial" w:eastAsia="Arial" w:hAnsi="Arial"/>
                <w:sz w:val="18"/>
                <w:szCs w:val="18"/>
                <w:color w:val="auto"/>
              </w:rPr>
              <w:t>Principal Accounting Officer</w:t>
            </w:r>
          </w:p>
        </w:tc>
        <w:tc>
          <w:tcPr>
            <w:tcW w:w="9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30"/>
        </w:trPr>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McDonald</w:t>
            </w:r>
          </w:p>
        </w:tc>
        <w:tc>
          <w:tcPr>
            <w:tcW w:w="92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Financial Officer)</w:t>
            </w:r>
          </w:p>
        </w:tc>
        <w:tc>
          <w:tcPr>
            <w:tcW w:w="92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r>
      <w:tr>
        <w:trPr>
          <w:trHeight w:val="425"/>
        </w:trPr>
        <w:tc>
          <w:tcPr>
            <w:tcW w:w="3140" w:type="dxa"/>
            <w:vAlign w:val="bottom"/>
          </w:tcPr>
          <w:p>
            <w:pPr>
              <w:spacing w:after="0"/>
              <w:rPr>
                <w:sz w:val="20"/>
                <w:szCs w:val="20"/>
                <w:color w:val="auto"/>
              </w:rPr>
            </w:pPr>
            <w:r>
              <w:rPr>
                <w:rFonts w:ascii="Arial" w:cs="Arial" w:eastAsia="Arial" w:hAnsi="Arial"/>
                <w:sz w:val="18"/>
                <w:szCs w:val="18"/>
                <w:color w:val="auto"/>
              </w:rPr>
              <w:t>/s/ Joel Gold</w:t>
            </w:r>
          </w:p>
        </w:tc>
        <w:tc>
          <w:tcPr>
            <w:tcW w:w="4860" w:type="dxa"/>
            <w:vAlign w:val="bottom"/>
            <w:gridSpan w:val="2"/>
          </w:tcPr>
          <w:p>
            <w:pPr>
              <w:ind w:left="920"/>
              <w:spacing w:after="0"/>
              <w:rPr>
                <w:sz w:val="20"/>
                <w:szCs w:val="20"/>
                <w:color w:val="auto"/>
              </w:rPr>
            </w:pPr>
            <w:r>
              <w:rPr>
                <w:rFonts w:ascii="Arial" w:cs="Arial" w:eastAsia="Arial" w:hAnsi="Arial"/>
                <w:sz w:val="18"/>
                <w:szCs w:val="18"/>
                <w:color w:val="auto"/>
              </w:rPr>
              <w:t>Director</w:t>
            </w:r>
          </w:p>
        </w:tc>
        <w:tc>
          <w:tcPr>
            <w:tcW w:w="9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30"/>
        </w:trPr>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Joel Gold</w:t>
            </w:r>
          </w:p>
        </w:tc>
        <w:tc>
          <w:tcPr>
            <w:tcW w:w="92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r>
      <w:tr>
        <w:trPr>
          <w:trHeight w:val="425"/>
        </w:trPr>
        <w:tc>
          <w:tcPr>
            <w:tcW w:w="3140" w:type="dxa"/>
            <w:vAlign w:val="bottom"/>
          </w:tcPr>
          <w:p>
            <w:pPr>
              <w:spacing w:after="0"/>
              <w:rPr>
                <w:sz w:val="20"/>
                <w:szCs w:val="20"/>
                <w:color w:val="auto"/>
              </w:rPr>
            </w:pPr>
            <w:r>
              <w:rPr>
                <w:rFonts w:ascii="Arial" w:cs="Arial" w:eastAsia="Arial" w:hAnsi="Arial"/>
                <w:sz w:val="18"/>
                <w:szCs w:val="18"/>
                <w:color w:val="auto"/>
              </w:rPr>
              <w:t>/s/ Solomon Mayer</w:t>
            </w:r>
          </w:p>
        </w:tc>
        <w:tc>
          <w:tcPr>
            <w:tcW w:w="4860" w:type="dxa"/>
            <w:vAlign w:val="bottom"/>
            <w:gridSpan w:val="2"/>
          </w:tcPr>
          <w:p>
            <w:pPr>
              <w:ind w:left="920"/>
              <w:spacing w:after="0"/>
              <w:rPr>
                <w:sz w:val="20"/>
                <w:szCs w:val="20"/>
                <w:color w:val="auto"/>
              </w:rPr>
            </w:pPr>
            <w:r>
              <w:rPr>
                <w:rFonts w:ascii="Arial" w:cs="Arial" w:eastAsia="Arial" w:hAnsi="Arial"/>
                <w:sz w:val="18"/>
                <w:szCs w:val="18"/>
                <w:color w:val="auto"/>
              </w:rPr>
              <w:t>Director</w:t>
            </w:r>
          </w:p>
        </w:tc>
        <w:tc>
          <w:tcPr>
            <w:tcW w:w="9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30"/>
        </w:trPr>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Solomon Mayer</w:t>
            </w:r>
          </w:p>
        </w:tc>
        <w:tc>
          <w:tcPr>
            <w:tcW w:w="92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r>
      <w:tr>
        <w:trPr>
          <w:trHeight w:val="425"/>
        </w:trPr>
        <w:tc>
          <w:tcPr>
            <w:tcW w:w="3140" w:type="dxa"/>
            <w:vAlign w:val="bottom"/>
          </w:tcPr>
          <w:p>
            <w:pPr>
              <w:spacing w:after="0"/>
              <w:rPr>
                <w:sz w:val="20"/>
                <w:szCs w:val="20"/>
                <w:color w:val="auto"/>
              </w:rPr>
            </w:pPr>
            <w:r>
              <w:rPr>
                <w:rFonts w:ascii="Arial" w:cs="Arial" w:eastAsia="Arial" w:hAnsi="Arial"/>
                <w:sz w:val="18"/>
                <w:szCs w:val="18"/>
                <w:color w:val="auto"/>
              </w:rPr>
              <w:t>/s/ Hank Cohn</w:t>
            </w:r>
          </w:p>
        </w:tc>
        <w:tc>
          <w:tcPr>
            <w:tcW w:w="4860" w:type="dxa"/>
            <w:vAlign w:val="bottom"/>
            <w:gridSpan w:val="2"/>
          </w:tcPr>
          <w:p>
            <w:pPr>
              <w:ind w:left="920"/>
              <w:spacing w:after="0"/>
              <w:rPr>
                <w:sz w:val="20"/>
                <w:szCs w:val="20"/>
                <w:color w:val="auto"/>
              </w:rPr>
            </w:pPr>
            <w:r>
              <w:rPr>
                <w:rFonts w:ascii="Arial" w:cs="Arial" w:eastAsia="Arial" w:hAnsi="Arial"/>
                <w:sz w:val="18"/>
                <w:szCs w:val="18"/>
                <w:color w:val="auto"/>
              </w:rPr>
              <w:t>Director</w:t>
            </w:r>
          </w:p>
        </w:tc>
        <w:tc>
          <w:tcPr>
            <w:tcW w:w="9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30"/>
        </w:trPr>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Hank Cohn</w:t>
            </w:r>
          </w:p>
        </w:tc>
        <w:tc>
          <w:tcPr>
            <w:tcW w:w="92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r>
      <w:tr>
        <w:trPr>
          <w:trHeight w:val="452"/>
        </w:trPr>
        <w:tc>
          <w:tcPr>
            <w:tcW w:w="3140" w:type="dxa"/>
            <w:vAlign w:val="bottom"/>
          </w:tcPr>
          <w:p>
            <w:pPr>
              <w:spacing w:after="0"/>
              <w:rPr>
                <w:sz w:val="20"/>
                <w:szCs w:val="20"/>
                <w:color w:val="auto"/>
              </w:rPr>
            </w:pPr>
            <w:r>
              <w:rPr>
                <w:rFonts w:ascii="Arial" w:cs="Arial" w:eastAsia="Arial" w:hAnsi="Arial"/>
                <w:sz w:val="18"/>
                <w:szCs w:val="18"/>
                <w:color w:val="auto"/>
              </w:rPr>
              <w:t>/s/ Justin Wiernasz</w:t>
            </w:r>
          </w:p>
        </w:tc>
        <w:tc>
          <w:tcPr>
            <w:tcW w:w="4860" w:type="dxa"/>
            <w:vAlign w:val="bottom"/>
            <w:gridSpan w:val="2"/>
          </w:tcPr>
          <w:p>
            <w:pPr>
              <w:ind w:left="920"/>
              <w:spacing w:after="0"/>
              <w:rPr>
                <w:sz w:val="20"/>
                <w:szCs w:val="20"/>
                <w:color w:val="auto"/>
              </w:rPr>
            </w:pPr>
            <w:r>
              <w:rPr>
                <w:rFonts w:ascii="Arial" w:cs="Arial" w:eastAsia="Arial" w:hAnsi="Arial"/>
                <w:sz w:val="18"/>
                <w:szCs w:val="18"/>
                <w:color w:val="auto"/>
              </w:rPr>
              <w:t>Director</w:t>
            </w:r>
          </w:p>
        </w:tc>
        <w:tc>
          <w:tcPr>
            <w:tcW w:w="9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30"/>
        </w:trPr>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Justin Wiernasz</w:t>
            </w:r>
          </w:p>
        </w:tc>
        <w:tc>
          <w:tcPr>
            <w:tcW w:w="92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r>
      <w:tr>
        <w:trPr>
          <w:trHeight w:val="593"/>
        </w:trPr>
        <w:tc>
          <w:tcPr>
            <w:tcW w:w="3140" w:type="dxa"/>
            <w:vAlign w:val="bottom"/>
          </w:tcPr>
          <w:p>
            <w:pPr>
              <w:spacing w:after="0"/>
              <w:rPr>
                <w:sz w:val="24"/>
                <w:szCs w:val="24"/>
                <w:color w:val="auto"/>
              </w:rPr>
            </w:pPr>
          </w:p>
        </w:tc>
        <w:tc>
          <w:tcPr>
            <w:tcW w:w="4860" w:type="dxa"/>
            <w:vAlign w:val="bottom"/>
            <w:gridSpan w:val="2"/>
          </w:tcPr>
          <w:p>
            <w:pPr>
              <w:ind w:left="2480"/>
              <w:spacing w:after="0"/>
              <w:rPr>
                <w:sz w:val="20"/>
                <w:szCs w:val="20"/>
                <w:color w:val="auto"/>
              </w:rPr>
            </w:pPr>
            <w:r>
              <w:rPr>
                <w:rFonts w:ascii="Arial" w:cs="Arial" w:eastAsia="Arial" w:hAnsi="Arial"/>
                <w:sz w:val="18"/>
                <w:szCs w:val="18"/>
                <w:color w:val="auto"/>
              </w:rPr>
              <w:t>57</w:t>
            </w:r>
          </w:p>
        </w:tc>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18"/>
        </w:trPr>
        <w:tc>
          <w:tcPr>
            <w:tcW w:w="31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6040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10740" w:type="dxa"/>
            <w:vAlign w:val="bottom"/>
          </w:tcPr>
          <w:p>
            <w:pPr>
              <w:ind w:left="360"/>
              <w:spacing w:after="0"/>
              <w:rPr>
                <w:sz w:val="20"/>
                <w:szCs w:val="20"/>
                <w:color w:val="auto"/>
              </w:rPr>
            </w:pPr>
            <w:r>
              <w:rPr>
                <w:rFonts w:ascii="Arial" w:cs="Arial" w:eastAsia="Arial" w:hAnsi="Arial"/>
                <w:sz w:val="18"/>
                <w:szCs w:val="18"/>
                <w:color w:val="auto"/>
                <w:w w:val="97"/>
              </w:rPr>
              <w:t>Articles of Incorporation (incorporated by reference to exhibit 3.1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10740" w:type="dxa"/>
            <w:vAlign w:val="bottom"/>
          </w:tcPr>
          <w:p>
            <w:pPr>
              <w:ind w:left="360"/>
              <w:spacing w:after="0"/>
              <w:rPr>
                <w:sz w:val="20"/>
                <w:szCs w:val="20"/>
                <w:color w:val="auto"/>
              </w:rPr>
            </w:pPr>
            <w:r>
              <w:rPr>
                <w:rFonts w:ascii="Arial" w:cs="Arial" w:eastAsia="Arial" w:hAnsi="Arial"/>
                <w:sz w:val="18"/>
                <w:szCs w:val="18"/>
                <w:color w:val="auto"/>
                <w:w w:val="94"/>
              </w:rPr>
              <w:t>Amended Bylaws of the Company (incorporated by reference to exhibit 3.2 of the Company’s annual report Form 10-K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2010 filed with the Securities and Exchange Commission on March 16, 2011).</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Form of Convertible Note (incorporated by reference to exhibit 4.1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Form of Convertible Note (incorporated by reference to exhibit 4.2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4.3</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Form of Warrant - Class A (incorporated by reference to exhibit 4.3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4.4</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Form of Warrant - Class B (incorporated by reference to exhibit 4.4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4.5</w:t>
            </w:r>
          </w:p>
        </w:tc>
        <w:tc>
          <w:tcPr>
            <w:tcW w:w="10740" w:type="dxa"/>
            <w:vAlign w:val="bottom"/>
          </w:tcPr>
          <w:p>
            <w:pPr>
              <w:ind w:left="360"/>
              <w:spacing w:after="0"/>
              <w:rPr>
                <w:sz w:val="20"/>
                <w:szCs w:val="20"/>
                <w:color w:val="auto"/>
              </w:rPr>
            </w:pPr>
            <w:r>
              <w:rPr>
                <w:rFonts w:ascii="Arial" w:cs="Arial" w:eastAsia="Arial" w:hAnsi="Arial"/>
                <w:sz w:val="18"/>
                <w:szCs w:val="18"/>
                <w:color w:val="auto"/>
                <w:w w:val="95"/>
              </w:rPr>
              <w:t>Form of Warrant - Class C (incorporated by reference to exhibit 4.5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4.6</w:t>
            </w:r>
          </w:p>
        </w:tc>
        <w:tc>
          <w:tcPr>
            <w:tcW w:w="10740" w:type="dxa"/>
            <w:vAlign w:val="bottom"/>
          </w:tcPr>
          <w:p>
            <w:pPr>
              <w:ind w:left="360"/>
              <w:spacing w:after="0"/>
              <w:rPr>
                <w:sz w:val="20"/>
                <w:szCs w:val="20"/>
                <w:color w:val="auto"/>
              </w:rPr>
            </w:pPr>
            <w:r>
              <w:rPr>
                <w:rFonts w:ascii="Arial" w:cs="Arial" w:eastAsia="Arial" w:hAnsi="Arial"/>
                <w:sz w:val="18"/>
                <w:szCs w:val="18"/>
                <w:color w:val="auto"/>
                <w:w w:val="92"/>
              </w:rPr>
              <w:t>Secured Convertible Promissory Note dated December 31, 2008 in favor of Alpha Capital Anstalt (incorporated by reference to exhibit 10.1 of</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the Company’s Current Report on Form 8-K filed with the Securities and Exchange Commission on January 7, 2009).</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4.7</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Class B Common Stock Purchase Warrant dated December 31, 2008 in favor of Alpha Capital Anstalt (incorporated by reference to exhibit</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10.2 of the Company’s Current Report on Form 8-K filed with the Securities and Exchange Commission on January 7, 2009).</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4.8</w:t>
            </w:r>
          </w:p>
        </w:tc>
        <w:tc>
          <w:tcPr>
            <w:tcW w:w="10740" w:type="dxa"/>
            <w:vAlign w:val="bottom"/>
          </w:tcPr>
          <w:p>
            <w:pPr>
              <w:ind w:left="360"/>
              <w:spacing w:after="0"/>
              <w:rPr>
                <w:sz w:val="20"/>
                <w:szCs w:val="20"/>
                <w:color w:val="auto"/>
              </w:rPr>
            </w:pPr>
            <w:r>
              <w:rPr>
                <w:rFonts w:ascii="Arial" w:cs="Arial" w:eastAsia="Arial" w:hAnsi="Arial"/>
                <w:sz w:val="18"/>
                <w:szCs w:val="18"/>
                <w:color w:val="auto"/>
                <w:w w:val="91"/>
              </w:rPr>
              <w:t>Subscription Agreement between the Registrant and Alpha Capital Anstalt dated December 31, 2008 (incorporated by reference to exhibit 10.3</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of the Company’s Current Report on Form 8-K filed with the Securities and Exchange Commission on January 7, 2009).</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4.9</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Amendment, Waiver, and Consent Agreement effective January 1, 2009 between the Registrant and Alpha Capital Anstalt (incorporated by</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4"/>
              </w:rPr>
              <w:t>reference to exhibit 10.4 of the Company’s Current Report on Form 8-K filed with the Securities and Exchange Commission on January 7,</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2009).</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740" w:type="dxa"/>
            <w:vAlign w:val="bottom"/>
          </w:tcPr>
          <w:p>
            <w:pPr>
              <w:ind w:left="360"/>
              <w:spacing w:after="0"/>
              <w:rPr>
                <w:sz w:val="20"/>
                <w:szCs w:val="20"/>
                <w:color w:val="auto"/>
              </w:rPr>
            </w:pPr>
            <w:r>
              <w:rPr>
                <w:rFonts w:ascii="Arial" w:cs="Arial" w:eastAsia="Arial" w:hAnsi="Arial"/>
                <w:sz w:val="18"/>
                <w:szCs w:val="18"/>
                <w:color w:val="auto"/>
                <w:w w:val="91"/>
              </w:rPr>
              <w:t>Lease of the Company's offices at Naples, Florida (incorporated by reference to exhibit 10.1 of the Company’s current report on Form 8-K filed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with the Securities and Exchange Commission on October 23, 2008).</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740" w:type="dxa"/>
            <w:vAlign w:val="bottom"/>
          </w:tcPr>
          <w:p>
            <w:pPr>
              <w:ind w:left="360"/>
              <w:spacing w:after="0"/>
              <w:rPr>
                <w:sz w:val="20"/>
                <w:szCs w:val="20"/>
                <w:color w:val="auto"/>
              </w:rPr>
            </w:pPr>
            <w:r>
              <w:rPr>
                <w:rFonts w:ascii="Arial" w:cs="Arial" w:eastAsia="Arial" w:hAnsi="Arial"/>
                <w:sz w:val="18"/>
                <w:szCs w:val="18"/>
                <w:color w:val="auto"/>
                <w:w w:val="94"/>
              </w:rPr>
              <w:t>Security and Pledge Agreement – IVFH (incorporated by reference to exhibit 10.2 of the Company’s annual report on Form 10-KSB for the</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year ended 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740" w:type="dxa"/>
            <w:vAlign w:val="bottom"/>
          </w:tcPr>
          <w:p>
            <w:pPr>
              <w:ind w:left="360"/>
              <w:spacing w:after="0"/>
              <w:rPr>
                <w:sz w:val="20"/>
                <w:szCs w:val="20"/>
                <w:color w:val="auto"/>
              </w:rPr>
            </w:pPr>
            <w:r>
              <w:rPr>
                <w:rFonts w:ascii="Arial" w:cs="Arial" w:eastAsia="Arial" w:hAnsi="Arial"/>
                <w:sz w:val="18"/>
                <w:szCs w:val="18"/>
                <w:color w:val="auto"/>
                <w:w w:val="92"/>
              </w:rPr>
              <w:t>Security and Pledge Agreement – FII (incorporated by reference to exhibit 10.3 of the Company’s annual report on Form 10-KSB for the year</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ended 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740" w:type="dxa"/>
            <w:vAlign w:val="bottom"/>
          </w:tcPr>
          <w:p>
            <w:pPr>
              <w:ind w:left="360"/>
              <w:spacing w:after="0"/>
              <w:rPr>
                <w:sz w:val="20"/>
                <w:szCs w:val="20"/>
                <w:color w:val="auto"/>
              </w:rPr>
            </w:pPr>
            <w:r>
              <w:rPr>
                <w:rFonts w:ascii="Arial" w:cs="Arial" w:eastAsia="Arial" w:hAnsi="Arial"/>
                <w:sz w:val="18"/>
                <w:szCs w:val="18"/>
                <w:color w:val="auto"/>
                <w:w w:val="94"/>
              </w:rPr>
              <w:t>Supply Agreement with Next Day Gourmet, L.P. with Next Day Gourmet, L.P. (incorporated by reference to exhibit 10.4 of the Company’s</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2"/>
              </w:rPr>
              <w:t>annual report on Form 10-KSB for the year ended December 31, 2004 filed with the Securities and Exchange Commission on September 28,</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Subscription Agreement (incorporated by reference to exhibit 10.5 of the Company’s annual report on Form 10-KSB for the year ended</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December 31, 2004 filed with the Securities and Exchange Commission on September 28, 2005).</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Agreement and Plan of Reorganization between IVFH and FII. (incorporated by reference to exhibit 10.6 of the Company’s annual report on</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9"/>
              </w:rPr>
              <w:t>Form 10-KSB for the year ended December 31, 2004 filed with the Securities and Exchange Commission on September 28, 2005).</w:t>
            </w:r>
          </w:p>
        </w:tc>
      </w:tr>
      <w:tr>
        <w:trPr>
          <w:trHeight w:val="581"/>
        </w:trPr>
        <w:tc>
          <w:tcPr>
            <w:tcW w:w="680" w:type="dxa"/>
            <w:vAlign w:val="bottom"/>
          </w:tcPr>
          <w:p>
            <w:pPr>
              <w:spacing w:after="0"/>
              <w:rPr>
                <w:sz w:val="24"/>
                <w:szCs w:val="24"/>
                <w:color w:val="auto"/>
              </w:rPr>
            </w:pPr>
          </w:p>
        </w:tc>
        <w:tc>
          <w:tcPr>
            <w:tcW w:w="10740" w:type="dxa"/>
            <w:vAlign w:val="bottom"/>
          </w:tcPr>
          <w:p>
            <w:pPr>
              <w:ind w:left="4940"/>
              <w:spacing w:after="0"/>
              <w:rPr>
                <w:sz w:val="20"/>
                <w:szCs w:val="20"/>
                <w:color w:val="auto"/>
              </w:rPr>
            </w:pPr>
            <w:r>
              <w:rPr>
                <w:rFonts w:ascii="Arial" w:cs="Arial" w:eastAsia="Arial" w:hAnsi="Arial"/>
                <w:sz w:val="18"/>
                <w:szCs w:val="18"/>
                <w:color w:val="auto"/>
              </w:rPr>
              <w:t>58</w:t>
            </w:r>
          </w:p>
        </w:tc>
      </w:tr>
      <w:tr>
        <w:trPr>
          <w:trHeight w:val="118"/>
        </w:trPr>
        <w:tc>
          <w:tcPr>
            <w:tcW w:w="680" w:type="dxa"/>
            <w:vAlign w:val="bottom"/>
            <w:tcBorders>
              <w:bottom w:val="single" w:sz="8" w:color="808080"/>
            </w:tcBorders>
          </w:tcPr>
          <w:p>
            <w:pPr>
              <w:spacing w:after="0"/>
              <w:rPr>
                <w:sz w:val="10"/>
                <w:szCs w:val="10"/>
                <w:color w:val="auto"/>
              </w:rPr>
            </w:pPr>
          </w:p>
        </w:tc>
        <w:tc>
          <w:tcPr>
            <w:tcW w:w="10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Index</w:t>
              </w:r>
            </w:hyperlink>
          </w:p>
        </w:tc>
        <w:tc>
          <w:tcPr>
            <w:tcW w:w="10660" w:type="dxa"/>
            <w:vAlign w:val="bottom"/>
          </w:tcPr>
          <w:p>
            <w:pPr>
              <w:spacing w:after="0"/>
              <w:rPr>
                <w:sz w:val="14"/>
                <w:szCs w:val="14"/>
                <w:color w:val="auto"/>
              </w:rPr>
            </w:pPr>
          </w:p>
        </w:tc>
      </w:tr>
      <w:tr>
        <w:trPr>
          <w:trHeight w:val="438"/>
        </w:trPr>
        <w:tc>
          <w:tcPr>
            <w:tcW w:w="3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1"/>
              </w:rPr>
              <w:t>10.7</w:t>
            </w:r>
          </w:p>
        </w:tc>
        <w:tc>
          <w:tcPr>
            <w:tcW w:w="420" w:type="dxa"/>
            <w:vAlign w:val="bottom"/>
          </w:tcPr>
          <w:p>
            <w:pPr>
              <w:spacing w:after="0"/>
              <w:rPr>
                <w:sz w:val="24"/>
                <w:szCs w:val="24"/>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2"/>
              </w:rPr>
              <w:t>Employment Agreement with Sam Klepfish dated as of January 6, 2010 (incorporated by reference to exhibit 10.5 of the Company’s Current</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Report on Form 8-K filed with the Securities and Exchange Commission on January 7, 2010).</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10.8</w:t>
            </w:r>
          </w:p>
        </w:tc>
        <w:tc>
          <w:tcPr>
            <w:tcW w:w="420" w:type="dxa"/>
            <w:vAlign w:val="bottom"/>
          </w:tcPr>
          <w:p>
            <w:pPr>
              <w:spacing w:after="0"/>
              <w:rPr>
                <w:sz w:val="24"/>
                <w:szCs w:val="24"/>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0"/>
              </w:rPr>
              <w:t>Employment Agreement with Justin Wiernasz dated as of January 6, 2010 (incorporated by reference to exhibit 10.5 of the Company’s Current</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Report on Form 8-K filed with the Securities and Exchange Commission on January 7, 2010).</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10.9</w:t>
            </w:r>
          </w:p>
        </w:tc>
        <w:tc>
          <w:tcPr>
            <w:tcW w:w="420" w:type="dxa"/>
            <w:vAlign w:val="bottom"/>
          </w:tcPr>
          <w:p>
            <w:pPr>
              <w:spacing w:after="0"/>
              <w:rPr>
                <w:sz w:val="24"/>
                <w:szCs w:val="24"/>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3"/>
              </w:rPr>
              <w:t>Employment Agreement with Sam Klepfish (incorporated by reference to exhibit 10.1 of the Company’s Form 10-Q filed with the Securities</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and Exchange Commission on November 21,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660" w:type="dxa"/>
            <w:vAlign w:val="bottom"/>
          </w:tcPr>
          <w:p>
            <w:pPr>
              <w:ind w:left="340"/>
              <w:spacing w:after="0"/>
              <w:rPr>
                <w:sz w:val="20"/>
                <w:szCs w:val="20"/>
                <w:color w:val="auto"/>
              </w:rPr>
            </w:pPr>
            <w:r>
              <w:rPr>
                <w:rFonts w:ascii="Arial" w:cs="Arial" w:eastAsia="Arial" w:hAnsi="Arial"/>
                <w:sz w:val="18"/>
                <w:szCs w:val="18"/>
                <w:color w:val="auto"/>
                <w:w w:val="92"/>
              </w:rPr>
              <w:t>Employment Agreement Justin Wiernasz (incorporated by reference to exhibit 10.2 of the Company’s Form 10-Q filed with the Securities and</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Exchange Commission on November 21,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60" w:type="dxa"/>
            <w:vAlign w:val="bottom"/>
          </w:tcPr>
          <w:p>
            <w:pPr>
              <w:ind w:left="340"/>
              <w:spacing w:after="0"/>
              <w:rPr>
                <w:sz w:val="20"/>
                <w:szCs w:val="20"/>
                <w:color w:val="auto"/>
              </w:rPr>
            </w:pPr>
            <w:r>
              <w:rPr>
                <w:rFonts w:ascii="Arial" w:cs="Arial" w:eastAsia="Arial" w:hAnsi="Arial"/>
                <w:sz w:val="18"/>
                <w:szCs w:val="18"/>
                <w:color w:val="auto"/>
                <w:w w:val="91"/>
              </w:rPr>
              <w:t>Subscription Agreement dated as of May 11, 2012 between the Registrant and Alpha Capital Anstalt (incorporated by reference to exhibit 10.1</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of the Company’s Current Report on Form 8-K filed with the Securities and Exchange Commission on May 17,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60" w:type="dxa"/>
            <w:vAlign w:val="bottom"/>
          </w:tcPr>
          <w:p>
            <w:pPr>
              <w:ind w:left="340"/>
              <w:spacing w:after="0"/>
              <w:rPr>
                <w:sz w:val="20"/>
                <w:szCs w:val="20"/>
                <w:color w:val="auto"/>
              </w:rPr>
            </w:pPr>
            <w:r>
              <w:rPr>
                <w:rFonts w:ascii="Arial" w:cs="Arial" w:eastAsia="Arial" w:hAnsi="Arial"/>
                <w:sz w:val="18"/>
                <w:szCs w:val="18"/>
                <w:color w:val="auto"/>
                <w:w w:val="91"/>
              </w:rPr>
              <w:t>Secured Convertible Promissory Note dated as of May 11, 2012 of the registrant issued to Alpha Capital Anstalt (incorporated by reference to</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exhibit 10.1 of the Company’s Current Report on Form 8-K filed with the Securities and Exchange Commission on May 17,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60" w:type="dxa"/>
            <w:vAlign w:val="bottom"/>
          </w:tcPr>
          <w:p>
            <w:pPr>
              <w:ind w:left="340"/>
              <w:spacing w:after="0"/>
              <w:rPr>
                <w:sz w:val="20"/>
                <w:szCs w:val="20"/>
                <w:color w:val="auto"/>
              </w:rPr>
            </w:pPr>
            <w:r>
              <w:rPr>
                <w:rFonts w:ascii="Arial" w:cs="Arial" w:eastAsia="Arial" w:hAnsi="Arial"/>
                <w:sz w:val="18"/>
                <w:szCs w:val="18"/>
                <w:color w:val="auto"/>
                <w:w w:val="90"/>
              </w:rPr>
              <w:t>Class E Common Stock Purchase Warrant issued to Alpha Capital Anstalt (incorporated by reference to exhibit 10.1 of the Company’s Current</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Report on Form 8-K filed with the Securities and Exchange Commission on May 17,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60" w:type="dxa"/>
            <w:vAlign w:val="bottom"/>
          </w:tcPr>
          <w:p>
            <w:pPr>
              <w:ind w:left="340"/>
              <w:spacing w:after="0"/>
              <w:rPr>
                <w:sz w:val="20"/>
                <w:szCs w:val="20"/>
                <w:color w:val="auto"/>
              </w:rPr>
            </w:pPr>
            <w:r>
              <w:rPr>
                <w:rFonts w:ascii="Arial" w:cs="Arial" w:eastAsia="Arial" w:hAnsi="Arial"/>
                <w:sz w:val="18"/>
                <w:szCs w:val="18"/>
                <w:color w:val="auto"/>
                <w:w w:val="91"/>
              </w:rPr>
              <w:t>Class F Common Stock Purchase Warrant issued to Alpha Capital Anstalt (incorporated by reference to exhibit 10.2 of the Company’s Current</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Report on Form 8-K filed with the Securities and Exchange Commission on May 17,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660" w:type="dxa"/>
            <w:vAlign w:val="bottom"/>
          </w:tcPr>
          <w:p>
            <w:pPr>
              <w:ind w:left="340"/>
              <w:spacing w:after="0"/>
              <w:rPr>
                <w:sz w:val="20"/>
                <w:szCs w:val="20"/>
                <w:color w:val="auto"/>
              </w:rPr>
            </w:pPr>
            <w:r>
              <w:rPr>
                <w:rFonts w:ascii="Arial" w:cs="Arial" w:eastAsia="Arial" w:hAnsi="Arial"/>
                <w:sz w:val="18"/>
                <w:szCs w:val="18"/>
                <w:color w:val="auto"/>
                <w:w w:val="90"/>
              </w:rPr>
              <w:t>Class G Common Stock Purchase Warrant issued to Alpha Capital Anstalt (incorporated by reference to exhibit 10.3 of the Company’s Current</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Report on Form 8-K filed with the Securities and Exchange Commission on May 17,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10.16</w:t>
            </w:r>
          </w:p>
        </w:tc>
        <w:tc>
          <w:tcPr>
            <w:tcW w:w="10660" w:type="dxa"/>
            <w:vAlign w:val="bottom"/>
          </w:tcPr>
          <w:p>
            <w:pPr>
              <w:ind w:left="340"/>
              <w:spacing w:after="0"/>
              <w:rPr>
                <w:sz w:val="20"/>
                <w:szCs w:val="20"/>
                <w:color w:val="auto"/>
              </w:rPr>
            </w:pPr>
            <w:r>
              <w:rPr>
                <w:rFonts w:ascii="Arial" w:cs="Arial" w:eastAsia="Arial" w:hAnsi="Arial"/>
                <w:sz w:val="18"/>
                <w:szCs w:val="18"/>
                <w:color w:val="auto"/>
                <w:w w:val="90"/>
              </w:rPr>
              <w:t>Class H Common Stock Purchase Warrant issued to Alpha Capital Anstalt (incorporated by reference to exhibit 10.4 of the Company’s Current</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Report on Form 8-K filed with the Securities and Exchange Commission on May 17,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10.17</w:t>
            </w:r>
          </w:p>
        </w:tc>
        <w:tc>
          <w:tcPr>
            <w:tcW w:w="10660" w:type="dxa"/>
            <w:vAlign w:val="bottom"/>
          </w:tcPr>
          <w:p>
            <w:pPr>
              <w:ind w:left="340"/>
              <w:spacing w:after="0"/>
              <w:rPr>
                <w:sz w:val="20"/>
                <w:szCs w:val="20"/>
                <w:color w:val="auto"/>
              </w:rPr>
            </w:pPr>
            <w:r>
              <w:rPr>
                <w:rFonts w:ascii="Arial" w:cs="Arial" w:eastAsia="Arial" w:hAnsi="Arial"/>
                <w:sz w:val="18"/>
                <w:szCs w:val="18"/>
                <w:color w:val="auto"/>
                <w:w w:val="91"/>
              </w:rPr>
              <w:t>Stock Purchase Agreement dated as of May 10, 2012 between the Registrant, Artisan Specialty Foods, Inc. and David Vohaska (incorporated</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w w:val="93"/>
              </w:rPr>
              <w:t>by reference to exhibit 10.1 of the Company’s Current Report on Form 8-K filed with the Securities and Exchange Commission on May 24,</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660" w:type="dxa"/>
            <w:vAlign w:val="bottom"/>
          </w:tcPr>
          <w:p>
            <w:pPr>
              <w:ind w:left="340"/>
              <w:spacing w:after="0"/>
              <w:rPr>
                <w:sz w:val="20"/>
                <w:szCs w:val="20"/>
                <w:color w:val="auto"/>
              </w:rPr>
            </w:pPr>
            <w:r>
              <w:rPr>
                <w:rFonts w:ascii="Arial" w:cs="Arial" w:eastAsia="Arial" w:hAnsi="Arial"/>
                <w:sz w:val="18"/>
                <w:szCs w:val="18"/>
                <w:color w:val="auto"/>
                <w:w w:val="92"/>
              </w:rPr>
              <w:t>Lease dated May 7, 2012 between Artisan Specialty Foods, Inc. and David and Sherri Vohaska (incorporated by reference to exhibit 10.2 of</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the Company’s Current Report on Form 8-K filed with the Securities and Exchange Commission on May 24,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10.19</w:t>
            </w:r>
          </w:p>
        </w:tc>
        <w:tc>
          <w:tcPr>
            <w:tcW w:w="10660" w:type="dxa"/>
            <w:vAlign w:val="bottom"/>
          </w:tcPr>
          <w:p>
            <w:pPr>
              <w:ind w:left="340"/>
              <w:spacing w:after="0"/>
              <w:rPr>
                <w:sz w:val="20"/>
                <w:szCs w:val="20"/>
                <w:color w:val="auto"/>
              </w:rPr>
            </w:pPr>
            <w:r>
              <w:rPr>
                <w:rFonts w:ascii="Arial" w:cs="Arial" w:eastAsia="Arial" w:hAnsi="Arial"/>
                <w:sz w:val="18"/>
                <w:szCs w:val="18"/>
                <w:color w:val="auto"/>
                <w:w w:val="92"/>
              </w:rPr>
              <w:t>Employment Agreement dated May 10, 2012 between Artisan Specialty Foods, Inc. and David Vohaska (incorporated by reference to exhibit</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10.3 of the Company’s Current Report on Form 8-K filed with the Securities and Exchange Commission on May 24, 2012)</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10.20</w:t>
            </w:r>
          </w:p>
        </w:tc>
        <w:tc>
          <w:tcPr>
            <w:tcW w:w="10660" w:type="dxa"/>
            <w:vAlign w:val="bottom"/>
          </w:tcPr>
          <w:p>
            <w:pPr>
              <w:ind w:left="340"/>
              <w:spacing w:after="0"/>
              <w:rPr>
                <w:sz w:val="20"/>
                <w:szCs w:val="20"/>
                <w:color w:val="auto"/>
              </w:rPr>
            </w:pPr>
            <w:r>
              <w:rPr>
                <w:rFonts w:ascii="Arial" w:cs="Arial" w:eastAsia="Arial" w:hAnsi="Arial"/>
                <w:sz w:val="18"/>
                <w:szCs w:val="18"/>
                <w:color w:val="auto"/>
                <w:w w:val="94"/>
              </w:rPr>
              <w:t>Loan Agreement between the registrant and Fifth Third Bank effective February 26, 2013 (incorporated by reference to exhibit 10.1 of the</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with the Securities and Exchange Commission on March 15, 2013)</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10.21</w:t>
            </w:r>
          </w:p>
        </w:tc>
        <w:tc>
          <w:tcPr>
            <w:tcW w:w="10660" w:type="dxa"/>
            <w:vAlign w:val="bottom"/>
          </w:tcPr>
          <w:p>
            <w:pPr>
              <w:ind w:left="340"/>
              <w:spacing w:after="0"/>
              <w:rPr>
                <w:sz w:val="20"/>
                <w:szCs w:val="20"/>
                <w:color w:val="auto"/>
              </w:rPr>
            </w:pPr>
            <w:r>
              <w:rPr>
                <w:rFonts w:ascii="Arial" w:cs="Arial" w:eastAsia="Arial" w:hAnsi="Arial"/>
                <w:sz w:val="18"/>
                <w:szCs w:val="18"/>
                <w:color w:val="auto"/>
                <w:w w:val="91"/>
              </w:rPr>
              <w:t>Security Agreement between the registrant and Fifth Third Bank effective February 26, 2013. (incorporated by reference to exhibit 10.2 of the</w:t>
            </w:r>
          </w:p>
        </w:tc>
      </w:tr>
      <w:tr>
        <w:trPr>
          <w:trHeight w:val="230"/>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6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with the Securities and Exchange Commission on March 15, 2013)</w:t>
            </w: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Mortgage by registrant in favor of Fifth Third Bank effective February 26, 2013. (incorporated by reference to exhibit 10.2 of the Company’s Current Report on Form 8-K filed with the Securities and Exchange Commission on March 15, 2013)</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1040" w:right="20" w:hanging="1039"/>
        <w:spacing w:after="0" w:line="277"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Note by registrant in favor of Fifth Third Bank effective February 26, 2013 (incorporated by reference to exhibit 10.3 of the Company’s Current Report on Form 8-K filed with the Securities and Exchange Commission on March 15, 2013)</w:t>
      </w:r>
    </w:p>
    <w:p>
      <w:pPr>
        <w:spacing w:after="0" w:line="170" w:lineRule="exact"/>
        <w:rPr>
          <w:sz w:val="20"/>
          <w:szCs w:val="20"/>
          <w:color w:val="auto"/>
        </w:rPr>
      </w:pPr>
    </w:p>
    <w:p>
      <w:pPr>
        <w:ind w:left="1040" w:hanging="1032"/>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Code of Ethics (incorporated by reference to exhibit 14 of the Company’s Form 10-KSB/A for the year ended December 31, 2006, filed with the Securities and Exchange Commission on July 31, 2008).</w:t>
      </w:r>
    </w:p>
    <w:p>
      <w:pPr>
        <w:spacing w:after="0" w:line="170" w:lineRule="exact"/>
        <w:rPr>
          <w:sz w:val="20"/>
          <w:szCs w:val="20"/>
          <w:color w:val="auto"/>
        </w:rPr>
      </w:pPr>
    </w:p>
    <w:p>
      <w:pPr>
        <w:ind w:left="1040" w:hanging="1032"/>
        <w:spacing w:after="0"/>
        <w:tabs>
          <w:tab w:leader="none" w:pos="1040" w:val="left"/>
        </w:tabs>
        <w:numPr>
          <w:ilvl w:val="0"/>
          <w:numId w:val="20"/>
        </w:numPr>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Subsidiaries of the Company</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40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Rule 13a-14(a) Certification of Chief Executive Officer</w:t>
              </w:r>
            </w:hyperlink>
          </w:p>
        </w:tc>
        <w:tc>
          <w:tcPr>
            <w:tcW w:w="360" w:type="dxa"/>
            <w:vAlign w:val="bottom"/>
            <w:gridSpan w:val="2"/>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43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Rule 13a-14(a) Certification of Principal Accounting Officer</w:t>
              </w:r>
            </w:hyperlink>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3680" w:type="dxa"/>
            <w:vAlign w:val="bottom"/>
            <w:tcBorders>
              <w:bottom w:val="single" w:sz="8" w:color="0000EE"/>
            </w:tcBorders>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Rule 1350 Certification of Chief Executive Officer</w:t>
              </w:r>
            </w:hyperlink>
          </w:p>
        </w:tc>
        <w:tc>
          <w:tcPr>
            <w:tcW w:w="700" w:type="dxa"/>
            <w:vAlign w:val="bottom"/>
            <w:gridSpan w:val="3"/>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4380" w:type="dxa"/>
            <w:vAlign w:val="bottom"/>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Rule 1350 Certification of Principal Accounting Officer</w:t>
              </w:r>
            </w:hyperlink>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0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3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40" w:type="dxa"/>
            <w:vAlign w:val="bottom"/>
          </w:tcPr>
          <w:p>
            <w:pPr>
              <w:ind w:left="920"/>
              <w:spacing w:after="0"/>
              <w:rPr>
                <w:sz w:val="20"/>
                <w:szCs w:val="20"/>
                <w:color w:val="auto"/>
              </w:rPr>
            </w:pPr>
            <w:r>
              <w:rPr>
                <w:rFonts w:ascii="Arial" w:cs="Arial" w:eastAsia="Arial" w:hAnsi="Arial"/>
                <w:sz w:val="18"/>
                <w:szCs w:val="18"/>
                <w:color w:val="auto"/>
                <w:w w:val="96"/>
              </w:rPr>
              <w:t>INNOVATIVE FOOD HOLDINGS, INC.</w:t>
            </w:r>
          </w:p>
        </w:tc>
      </w:tr>
      <w:tr>
        <w:trPr>
          <w:trHeight w:val="432"/>
        </w:trPr>
        <w:tc>
          <w:tcPr>
            <w:tcW w:w="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40" w:type="dxa"/>
            <w:vAlign w:val="bottom"/>
          </w:tcPr>
          <w:p>
            <w:pPr>
              <w:ind w:left="1200"/>
              <w:spacing w:after="0"/>
              <w:rPr>
                <w:sz w:val="20"/>
                <w:szCs w:val="20"/>
                <w:color w:val="auto"/>
              </w:rPr>
            </w:pPr>
            <w:r>
              <w:rPr>
                <w:rFonts w:ascii="Arial" w:cs="Arial" w:eastAsia="Arial" w:hAnsi="Arial"/>
                <w:sz w:val="18"/>
                <w:szCs w:val="18"/>
                <w:color w:val="auto"/>
              </w:rPr>
              <w:t>SCHEDULE OF SUBSIDIARIES</w:t>
            </w:r>
          </w:p>
        </w:tc>
      </w:tr>
      <w:tr>
        <w:trPr>
          <w:trHeight w:val="445"/>
        </w:trPr>
        <w:tc>
          <w:tcPr>
            <w:tcW w:w="18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3100" w:type="dxa"/>
            <w:vAlign w:val="bottom"/>
          </w:tcPr>
          <w:p>
            <w:pPr>
              <w:ind w:left="40"/>
              <w:spacing w:after="0"/>
              <w:rPr>
                <w:sz w:val="20"/>
                <w:szCs w:val="20"/>
                <w:color w:val="auto"/>
              </w:rPr>
            </w:pPr>
            <w:r>
              <w:rPr>
                <w:rFonts w:ascii="Arial" w:cs="Arial" w:eastAsia="Arial" w:hAnsi="Arial"/>
                <w:sz w:val="18"/>
                <w:szCs w:val="18"/>
                <w:color w:val="auto"/>
              </w:rPr>
              <w:t>Food Innovations, Inc.</w:t>
            </w:r>
          </w:p>
        </w:tc>
        <w:tc>
          <w:tcPr>
            <w:tcW w:w="3940" w:type="dxa"/>
            <w:vAlign w:val="bottom"/>
          </w:tcPr>
          <w:p>
            <w:pPr>
              <w:ind w:left="260"/>
              <w:spacing w:after="0"/>
              <w:rPr>
                <w:sz w:val="20"/>
                <w:szCs w:val="20"/>
                <w:color w:val="auto"/>
              </w:rPr>
            </w:pPr>
            <w:r>
              <w:rPr>
                <w:rFonts w:ascii="Arial" w:cs="Arial" w:eastAsia="Arial" w:hAnsi="Arial"/>
                <w:sz w:val="18"/>
                <w:szCs w:val="18"/>
                <w:color w:val="auto"/>
              </w:rPr>
              <w:t>Florida Corporation</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100" w:type="dxa"/>
            <w:vAlign w:val="bottom"/>
          </w:tcPr>
          <w:p>
            <w:pPr>
              <w:ind w:left="40"/>
              <w:spacing w:after="0"/>
              <w:rPr>
                <w:sz w:val="20"/>
                <w:szCs w:val="20"/>
                <w:color w:val="auto"/>
              </w:rPr>
            </w:pPr>
            <w:r>
              <w:rPr>
                <w:rFonts w:ascii="Arial" w:cs="Arial" w:eastAsia="Arial" w:hAnsi="Arial"/>
                <w:sz w:val="18"/>
                <w:szCs w:val="18"/>
                <w:color w:val="auto"/>
              </w:rPr>
              <w:t>Food New Media Group, Inc.</w:t>
            </w:r>
          </w:p>
        </w:tc>
        <w:tc>
          <w:tcPr>
            <w:tcW w:w="3940" w:type="dxa"/>
            <w:vAlign w:val="bottom"/>
          </w:tcPr>
          <w:p>
            <w:pPr>
              <w:ind w:left="260"/>
              <w:spacing w:after="0"/>
              <w:rPr>
                <w:sz w:val="20"/>
                <w:szCs w:val="20"/>
                <w:color w:val="auto"/>
              </w:rPr>
            </w:pPr>
            <w:r>
              <w:rPr>
                <w:rFonts w:ascii="Arial" w:cs="Arial" w:eastAsia="Arial" w:hAnsi="Arial"/>
                <w:sz w:val="18"/>
                <w:szCs w:val="18"/>
                <w:color w:val="auto"/>
              </w:rPr>
              <w:t>Florida Corporation</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3100" w:type="dxa"/>
            <w:vAlign w:val="bottom"/>
          </w:tcPr>
          <w:p>
            <w:pPr>
              <w:ind w:left="40"/>
              <w:spacing w:after="0"/>
              <w:rPr>
                <w:sz w:val="20"/>
                <w:szCs w:val="20"/>
                <w:color w:val="auto"/>
              </w:rPr>
            </w:pPr>
            <w:r>
              <w:rPr>
                <w:rFonts w:ascii="Arial" w:cs="Arial" w:eastAsia="Arial" w:hAnsi="Arial"/>
                <w:sz w:val="18"/>
                <w:szCs w:val="18"/>
                <w:color w:val="auto"/>
              </w:rPr>
              <w:t>4 The Gourmet, Inc. (d/b/a/ For The</w:t>
            </w:r>
          </w:p>
        </w:tc>
        <w:tc>
          <w:tcPr>
            <w:tcW w:w="3940" w:type="dxa"/>
            <w:vAlign w:val="bottom"/>
          </w:tcPr>
          <w:p>
            <w:pPr>
              <w:ind w:left="260"/>
              <w:spacing w:after="0"/>
              <w:rPr>
                <w:sz w:val="20"/>
                <w:szCs w:val="20"/>
                <w:color w:val="auto"/>
              </w:rPr>
            </w:pPr>
            <w:r>
              <w:rPr>
                <w:rFonts w:ascii="Arial" w:cs="Arial" w:eastAsia="Arial" w:hAnsi="Arial"/>
                <w:sz w:val="18"/>
                <w:szCs w:val="18"/>
                <w:color w:val="auto"/>
              </w:rPr>
              <w:t>Florida Corporation</w:t>
            </w:r>
          </w:p>
        </w:tc>
      </w:tr>
      <w:tr>
        <w:trPr>
          <w:trHeight w:val="216"/>
        </w:trPr>
        <w:tc>
          <w:tcPr>
            <w:tcW w:w="180" w:type="dxa"/>
            <w:vAlign w:val="bottom"/>
          </w:tcPr>
          <w:p>
            <w:pPr>
              <w:spacing w:after="0"/>
              <w:rPr>
                <w:sz w:val="18"/>
                <w:szCs w:val="18"/>
                <w:color w:val="auto"/>
              </w:rPr>
            </w:pPr>
          </w:p>
        </w:tc>
        <w:tc>
          <w:tcPr>
            <w:tcW w:w="3100" w:type="dxa"/>
            <w:vAlign w:val="bottom"/>
          </w:tcPr>
          <w:p>
            <w:pPr>
              <w:ind w:left="40"/>
              <w:spacing w:after="0"/>
              <w:rPr>
                <w:sz w:val="20"/>
                <w:szCs w:val="20"/>
                <w:color w:val="auto"/>
              </w:rPr>
            </w:pPr>
            <w:r>
              <w:rPr>
                <w:rFonts w:ascii="Arial" w:cs="Arial" w:eastAsia="Arial" w:hAnsi="Arial"/>
                <w:sz w:val="18"/>
                <w:szCs w:val="18"/>
                <w:color w:val="auto"/>
              </w:rPr>
              <w:t>Gourmet, Inc.)</w:t>
            </w:r>
          </w:p>
        </w:tc>
        <w:tc>
          <w:tcPr>
            <w:tcW w:w="3940" w:type="dxa"/>
            <w:vAlign w:val="bottom"/>
          </w:tcPr>
          <w:p>
            <w:pPr>
              <w:spacing w:after="0"/>
              <w:rPr>
                <w:sz w:val="18"/>
                <w:szCs w:val="18"/>
                <w:color w:val="auto"/>
              </w:rPr>
            </w:pP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3100" w:type="dxa"/>
            <w:vAlign w:val="bottom"/>
          </w:tcPr>
          <w:p>
            <w:pPr>
              <w:ind w:left="40"/>
              <w:spacing w:after="0"/>
              <w:rPr>
                <w:sz w:val="20"/>
                <w:szCs w:val="20"/>
                <w:color w:val="auto"/>
              </w:rPr>
            </w:pPr>
            <w:r>
              <w:rPr>
                <w:rFonts w:ascii="Arial" w:cs="Arial" w:eastAsia="Arial" w:hAnsi="Arial"/>
                <w:sz w:val="18"/>
                <w:szCs w:val="18"/>
                <w:color w:val="auto"/>
              </w:rPr>
              <w:t>Gourmet Foodservice Group, Inc.</w:t>
            </w:r>
          </w:p>
        </w:tc>
        <w:tc>
          <w:tcPr>
            <w:tcW w:w="3940" w:type="dxa"/>
            <w:vAlign w:val="bottom"/>
          </w:tcPr>
          <w:p>
            <w:pPr>
              <w:ind w:left="260"/>
              <w:spacing w:after="0"/>
              <w:rPr>
                <w:sz w:val="20"/>
                <w:szCs w:val="20"/>
                <w:color w:val="auto"/>
              </w:rPr>
            </w:pPr>
            <w:r>
              <w:rPr>
                <w:rFonts w:ascii="Arial" w:cs="Arial" w:eastAsia="Arial" w:hAnsi="Arial"/>
                <w:sz w:val="18"/>
                <w:szCs w:val="18"/>
                <w:color w:val="auto"/>
              </w:rPr>
              <w:t>Florida Corporation</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3100" w:type="dxa"/>
            <w:vAlign w:val="bottom"/>
          </w:tcPr>
          <w:p>
            <w:pPr>
              <w:ind w:left="40"/>
              <w:spacing w:after="0"/>
              <w:rPr>
                <w:sz w:val="20"/>
                <w:szCs w:val="20"/>
                <w:color w:val="auto"/>
              </w:rPr>
            </w:pPr>
            <w:r>
              <w:rPr>
                <w:rFonts w:ascii="Arial" w:cs="Arial" w:eastAsia="Arial" w:hAnsi="Arial"/>
                <w:sz w:val="18"/>
                <w:szCs w:val="18"/>
                <w:color w:val="auto"/>
              </w:rPr>
              <w:t>Artisan Specialty Foods, Inc.</w:t>
            </w:r>
          </w:p>
        </w:tc>
        <w:tc>
          <w:tcPr>
            <w:tcW w:w="3940" w:type="dxa"/>
            <w:vAlign w:val="bottom"/>
          </w:tcPr>
          <w:p>
            <w:pPr>
              <w:ind w:left="260"/>
              <w:spacing w:after="0"/>
              <w:rPr>
                <w:sz w:val="20"/>
                <w:szCs w:val="20"/>
                <w:color w:val="auto"/>
              </w:rPr>
            </w:pPr>
            <w:r>
              <w:rPr>
                <w:rFonts w:ascii="Arial" w:cs="Arial" w:eastAsia="Arial" w:hAnsi="Arial"/>
                <w:sz w:val="18"/>
                <w:szCs w:val="18"/>
                <w:color w:val="auto"/>
              </w:rPr>
              <w:t>Florida Corporation</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3100" w:type="dxa"/>
            <w:vAlign w:val="bottom"/>
          </w:tcPr>
          <w:p>
            <w:pPr>
              <w:ind w:left="40"/>
              <w:spacing w:after="0"/>
              <w:rPr>
                <w:sz w:val="20"/>
                <w:szCs w:val="20"/>
                <w:color w:val="auto"/>
              </w:rPr>
            </w:pPr>
            <w:r>
              <w:rPr>
                <w:rFonts w:ascii="Arial" w:cs="Arial" w:eastAsia="Arial" w:hAnsi="Arial"/>
                <w:sz w:val="18"/>
                <w:szCs w:val="18"/>
                <w:color w:val="auto"/>
              </w:rPr>
              <w:t>The Haley Group, Inc.</w:t>
            </w:r>
          </w:p>
        </w:tc>
        <w:tc>
          <w:tcPr>
            <w:tcW w:w="3940" w:type="dxa"/>
            <w:vAlign w:val="bottom"/>
          </w:tcPr>
          <w:p>
            <w:pPr>
              <w:ind w:left="260"/>
              <w:spacing w:after="0"/>
              <w:rPr>
                <w:sz w:val="20"/>
                <w:szCs w:val="20"/>
                <w:color w:val="auto"/>
              </w:rPr>
            </w:pPr>
            <w:r>
              <w:rPr>
                <w:rFonts w:ascii="Arial" w:cs="Arial" w:eastAsia="Arial" w:hAnsi="Arial"/>
                <w:sz w:val="18"/>
                <w:szCs w:val="18"/>
                <w:color w:val="auto"/>
              </w:rPr>
              <w:t>Florida Corporation</w:t>
            </w: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3100" w:type="dxa"/>
            <w:vAlign w:val="bottom"/>
          </w:tcPr>
          <w:p>
            <w:pPr>
              <w:ind w:left="40"/>
              <w:spacing w:after="0"/>
              <w:rPr>
                <w:sz w:val="20"/>
                <w:szCs w:val="20"/>
                <w:color w:val="auto"/>
              </w:rPr>
            </w:pPr>
            <w:r>
              <w:rPr>
                <w:rFonts w:ascii="Arial" w:cs="Arial" w:eastAsia="Arial" w:hAnsi="Arial"/>
                <w:sz w:val="18"/>
                <w:szCs w:val="18"/>
                <w:color w:val="auto"/>
                <w:w w:val="98"/>
              </w:rPr>
              <w:t>Gourmet Foodservice Warehouse, Inc.</w:t>
            </w:r>
          </w:p>
        </w:tc>
        <w:tc>
          <w:tcPr>
            <w:tcW w:w="3940" w:type="dxa"/>
            <w:vAlign w:val="bottom"/>
          </w:tcPr>
          <w:p>
            <w:pPr>
              <w:ind w:left="260"/>
              <w:spacing w:after="0"/>
              <w:rPr>
                <w:sz w:val="20"/>
                <w:szCs w:val="20"/>
                <w:color w:val="auto"/>
              </w:rPr>
            </w:pPr>
            <w:r>
              <w:rPr>
                <w:rFonts w:ascii="Arial" w:cs="Arial" w:eastAsia="Arial" w:hAnsi="Arial"/>
                <w:sz w:val="18"/>
                <w:szCs w:val="18"/>
                <w:color w:val="auto"/>
              </w:rPr>
              <w:t>Florida Corporation</w:t>
            </w:r>
          </w:p>
        </w:tc>
      </w:tr>
    </w:tbl>
    <w:p>
      <w:pPr>
        <w:sectPr>
          <w:pgSz w:w="11900" w:h="16838" w:orient="portrait"/>
          <w:cols w:equalWidth="0" w:num="1">
            <w:col w:w="10219"/>
          </w:cols>
          <w:pgMar w:left="240" w:top="364"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Sam Klepfish,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Innovative Food Holdings, Inc. and Subsidiaries;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8"/>
        <w:spacing w:after="0" w:line="277"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277" w:lineRule="auto"/>
        <w:tabs>
          <w:tab w:leader="none" w:pos="2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335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33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 Chief Executive Officer</w:t>
      </w:r>
    </w:p>
    <w:p>
      <w:pPr>
        <w:sectPr>
          <w:pgSz w:w="11900" w:h="16838" w:orient="portrait"/>
          <w:cols w:equalWidth="0" w:num="1">
            <w:col w:w="11420"/>
          </w:cols>
          <w:pgMar w:left="240" w:top="33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McDonald,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Innovative Food Holdings, Inc. and Subsidiaries;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8"/>
        <w:spacing w:after="0" w:line="277" w:lineRule="auto"/>
        <w:tabs>
          <w:tab w:leader="none" w:pos="1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277" w:lineRule="auto"/>
        <w:tabs>
          <w:tab w:leader="none" w:pos="2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129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129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McDonald, Principle Accounting Officer</w:t>
      </w:r>
    </w:p>
    <w:p>
      <w:pPr>
        <w:sectPr>
          <w:pgSz w:w="11900" w:h="16838" w:orient="portrait"/>
          <w:cols w:equalWidth="0" w:num="1">
            <w:col w:w="11420"/>
          </w:cols>
          <w:pgMar w:left="240" w:top="33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Innovative Food Holdings, Inc. and Subsidiaries (the "Company") on Form 10-K for the year ended December 31, 2013 as filed with the Securities and Exchange Commission on the date hereof (the "Report"), I, Sam Klepfish, Chief Executive Officer and Director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78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478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31, 2014</w:t>
      </w:r>
    </w:p>
    <w:p>
      <w:pPr>
        <w:sectPr>
          <w:pgSz w:w="11900" w:h="16838" w:orient="portrait"/>
          <w:cols w:equalWidth="0" w:num="1">
            <w:col w:w="11420"/>
          </w:cols>
          <w:pgMar w:left="240" w:top="33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Annual Report of Innovative Food Holdings, Inc. and Subsidiaries (the "Company") on Form 10-K for the year ended December 31, 2013 as filed with the Securities and Exchange Commission on the date hereof (the "Report"), I, John McDonald, Principal Financial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John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700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McDonald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31, 2014</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lowerRoman"/>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8"/>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4"/>
    </w:lvl>
  </w:abstractNum>
  <w:abstractNum w:abstractNumId="17">
    <w:nsid w:val="75A2A8D4"/>
    <w:multiLevelType w:val="hybridMultilevel"/>
    <w:lvl w:ilvl="0">
      <w:lvlJc w:val="left"/>
      <w:lvlText w:val="%1"/>
      <w:numFmt w:val="decimal"/>
      <w:start w:val="21"/>
    </w:lvl>
  </w:abstractNum>
  <w:abstractNum w:abstractNumId="18">
    <w:nsid w:val="8EDBDAB"/>
    <w:multiLevelType w:val="hybridMultilevel"/>
    <w:lvl w:ilvl="0">
      <w:lvlJc w:val="left"/>
      <w:lvlText w:val="%1"/>
      <w:numFmt w:val="decimal"/>
      <w:start w:val="14"/>
    </w:lvl>
  </w:abstractNum>
  <w:abstractNum w:abstractNumId="19">
    <w:nsid w:val="79838CB2"/>
    <w:multiLevelType w:val="hybridMultilevel"/>
    <w:lvl w:ilvl="0">
      <w:lvlJc w:val="left"/>
      <w:lvlText w:val="%1"/>
      <w:numFmt w:val="decimal"/>
      <w:start w:val="2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2020-01-26T16:11:53Z</dcterms:created>
  <dcterms:modified xsi:type="dcterms:W3CDTF">2020-01-26T16:11:53Z</dcterms:modified>
</cp:coreProperties>
</file>