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Pappas James 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160"/>
              <w:spacing w:after="0"/>
              <w:rPr>
                <w:sz w:val="20"/>
                <w:szCs w:val="20"/>
                <w:color w:val="auto"/>
              </w:rPr>
            </w:pPr>
            <w:r>
              <w:rPr>
                <w:rFonts w:ascii="Arial" w:cs="Arial" w:eastAsia="Arial" w:hAnsi="Arial"/>
                <w:sz w:val="13"/>
                <w:szCs w:val="13"/>
                <w:color w:val="auto"/>
              </w:rPr>
              <w:t>(First)</w:t>
            </w:r>
          </w:p>
        </w:tc>
        <w:tc>
          <w:tcPr>
            <w:tcW w:w="1420" w:type="dxa"/>
            <w:vAlign w:val="bottom"/>
          </w:tcPr>
          <w:p>
            <w:pPr>
              <w:ind w:left="2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1177 WEST LOOP SOUTH</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SUITE 1320</w:t>
            </w:r>
          </w:p>
        </w:tc>
        <w:tc>
          <w:tcPr>
            <w:tcW w:w="11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1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TX</w:t>
            </w:r>
          </w:p>
        </w:tc>
        <w:tc>
          <w:tcPr>
            <w:tcW w:w="14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77027</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160"/>
              <w:spacing w:after="0"/>
              <w:rPr>
                <w:sz w:val="20"/>
                <w:szCs w:val="20"/>
                <w:color w:val="auto"/>
              </w:rPr>
            </w:pPr>
            <w:r>
              <w:rPr>
                <w:rFonts w:ascii="Arial" w:cs="Arial" w:eastAsia="Arial" w:hAnsi="Arial"/>
                <w:sz w:val="13"/>
                <w:szCs w:val="13"/>
                <w:color w:val="auto"/>
              </w:rPr>
              <w:t>(State)</w:t>
            </w:r>
          </w:p>
        </w:tc>
        <w:tc>
          <w:tcPr>
            <w:tcW w:w="142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INNOVATIVE FOOD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340" w:type="dxa"/>
            <w:vAlign w:val="bottom"/>
            <w:tcBorders>
              <w:bottom w:val="single" w:sz="8" w:color="0000EE"/>
            </w:tcBorders>
          </w:tcPr>
          <w:p>
            <w:pPr>
              <w:spacing w:after="0"/>
              <w:rPr>
                <w:sz w:val="3"/>
                <w:szCs w:val="3"/>
                <w:color w:val="auto"/>
              </w:rPr>
            </w:pPr>
          </w:p>
        </w:tc>
        <w:tc>
          <w:tcPr>
            <w:tcW w:w="28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IVFH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3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860" w:type="dxa"/>
            <w:vAlign w:val="bottom"/>
          </w:tcPr>
          <w:p>
            <w:pPr>
              <w:ind w:left="600"/>
              <w:spacing w:after="0" w:line="14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01/06/2026</w:t>
            </w:r>
          </w:p>
        </w:tc>
        <w:tc>
          <w:tcPr>
            <w:tcW w:w="2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3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36"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60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60" w:type="dxa"/>
            <w:vAlign w:val="bottom"/>
            <w:tcBorders>
              <w:bottom w:val="single" w:sz="8" w:color="2C2C2C"/>
            </w:tcBorders>
          </w:tcPr>
          <w:p>
            <w:pPr>
              <w:spacing w:after="0"/>
              <w:rPr>
                <w:sz w:val="15"/>
                <w:szCs w:val="15"/>
                <w:color w:val="auto"/>
              </w:rPr>
            </w:pPr>
          </w:p>
        </w:tc>
        <w:tc>
          <w:tcPr>
            <w:tcW w:w="16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39" w:lineRule="exact"/>
        <w:rPr>
          <w:sz w:val="24"/>
          <w:szCs w:val="24"/>
          <w:color w:val="auto"/>
        </w:rPr>
      </w:pPr>
    </w:p>
    <w:tbl>
      <w:tblPr>
        <w:tblLayout w:type="fixed"/>
        <w:tblInd w:w="20" w:type="dxa"/>
        <w:tblCellMar>
          <w:top w:w="0" w:type="dxa"/>
          <w:left w:w="0" w:type="dxa"/>
          <w:bottom w:w="0" w:type="dxa"/>
          <w:right w:w="0" w:type="dxa"/>
        </w:tblCellMar>
      </w:tblPr>
      <w:tr>
        <w:trPr>
          <w:trHeight w:val="213"/>
        </w:trPr>
        <w:tc>
          <w:tcPr>
            <w:tcW w:w="2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By JCP</w:t>
            </w:r>
          </w:p>
        </w:tc>
        <w:tc>
          <w:tcPr>
            <w:tcW w:w="0" w:type="dxa"/>
            <w:vAlign w:val="bottom"/>
          </w:tcPr>
          <w:p>
            <w:pPr>
              <w:spacing w:after="0"/>
              <w:rPr>
                <w:sz w:val="1"/>
                <w:szCs w:val="1"/>
                <w:color w:val="auto"/>
              </w:rPr>
            </w:pPr>
          </w:p>
        </w:tc>
      </w:tr>
      <w:tr>
        <w:trPr>
          <w:trHeight w:val="213"/>
        </w:trPr>
        <w:tc>
          <w:tcPr>
            <w:tcW w:w="28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$0.0001 par value</w:t>
            </w:r>
            <w:r>
              <w:rPr>
                <w:rFonts w:ascii="Times New Roman" w:cs="Times New Roman" w:eastAsia="Times New Roman" w:hAnsi="Times New Roman"/>
                <w:sz w:val="22"/>
                <w:szCs w:val="22"/>
                <w:color w:val="008000"/>
                <w:vertAlign w:val="superscript"/>
              </w:rPr>
              <w:t>(1)</w:t>
            </w:r>
          </w:p>
        </w:tc>
        <w:tc>
          <w:tcPr>
            <w:tcW w:w="174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0000FF"/>
              </w:rPr>
              <w:t>01/06/2026</w:t>
            </w:r>
          </w:p>
        </w:tc>
        <w:tc>
          <w:tcPr>
            <w:tcW w:w="1120" w:type="dxa"/>
            <w:vAlign w:val="bottom"/>
            <w:vMerge w:val="restart"/>
          </w:tcPr>
          <w:p>
            <w:pPr>
              <w:ind w:left="740"/>
              <w:spacing w:after="0"/>
              <w:rPr>
                <w:sz w:val="20"/>
                <w:szCs w:val="20"/>
                <w:color w:val="auto"/>
              </w:rPr>
            </w:pPr>
            <w:r>
              <w:rPr>
                <w:rFonts w:ascii="Times New Roman" w:cs="Times New Roman" w:eastAsia="Times New Roman" w:hAnsi="Times New Roman"/>
                <w:sz w:val="13"/>
                <w:szCs w:val="13"/>
                <w:color w:val="0000FF"/>
              </w:rPr>
              <w:t>P</w:t>
            </w:r>
          </w:p>
        </w:tc>
        <w:tc>
          <w:tcPr>
            <w:tcW w:w="15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505,555</w:t>
            </w:r>
            <w:r>
              <w:rPr>
                <w:rFonts w:ascii="Times New Roman" w:cs="Times New Roman" w:eastAsia="Times New Roman" w:hAnsi="Times New Roman"/>
                <w:sz w:val="22"/>
                <w:szCs w:val="22"/>
                <w:color w:val="008000"/>
                <w:vertAlign w:val="superscript"/>
              </w:rPr>
              <w:t>(2)</w:t>
            </w:r>
            <w:r>
              <w:rPr>
                <w:rFonts w:ascii="Times New Roman" w:cs="Times New Roman" w:eastAsia="Times New Roman" w:hAnsi="Times New Roman"/>
                <w:sz w:val="17"/>
                <w:szCs w:val="17"/>
                <w:color w:val="0000FF"/>
              </w:rPr>
              <w:t xml:space="preserve">     A</w:t>
            </w:r>
          </w:p>
        </w:tc>
        <w:tc>
          <w:tcPr>
            <w:tcW w:w="640" w:type="dxa"/>
            <w:vAlign w:val="bottom"/>
            <w:vMerge w:val="restart"/>
          </w:tcPr>
          <w:p>
            <w:pPr>
              <w:jc w:val="right"/>
              <w:ind w:right="9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0.3</w:t>
            </w:r>
          </w:p>
        </w:tc>
        <w:tc>
          <w:tcPr>
            <w:tcW w:w="1180" w:type="dxa"/>
            <w:vAlign w:val="bottom"/>
            <w:vMerge w:val="restart"/>
          </w:tcPr>
          <w:p>
            <w:pPr>
              <w:jc w:val="right"/>
              <w:ind w:right="233"/>
              <w:spacing w:after="0"/>
              <w:rPr>
                <w:sz w:val="20"/>
                <w:szCs w:val="20"/>
                <w:color w:val="auto"/>
              </w:rPr>
            </w:pPr>
            <w:r>
              <w:rPr>
                <w:rFonts w:ascii="Times New Roman" w:cs="Times New Roman" w:eastAsia="Times New Roman" w:hAnsi="Times New Roman"/>
                <w:sz w:val="17"/>
                <w:szCs w:val="17"/>
                <w:color w:val="0000FF"/>
              </w:rPr>
              <w:t>8,796,230</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I</w:t>
            </w:r>
          </w:p>
        </w:tc>
        <w:tc>
          <w:tcPr>
            <w:tcW w:w="12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174"/>
        </w:trPr>
        <w:tc>
          <w:tcPr>
            <w:tcW w:w="2820" w:type="dxa"/>
            <w:vAlign w:val="bottom"/>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Partnership,</w:t>
            </w:r>
          </w:p>
        </w:tc>
        <w:tc>
          <w:tcPr>
            <w:tcW w:w="0" w:type="dxa"/>
            <w:vAlign w:val="bottom"/>
          </w:tcPr>
          <w:p>
            <w:pPr>
              <w:spacing w:after="0"/>
              <w:rPr>
                <w:sz w:val="1"/>
                <w:szCs w:val="1"/>
                <w:color w:val="auto"/>
              </w:rPr>
            </w:pPr>
          </w:p>
        </w:tc>
      </w:tr>
      <w:tr>
        <w:trPr>
          <w:trHeight w:val="39"/>
        </w:trPr>
        <w:tc>
          <w:tcPr>
            <w:tcW w:w="28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ind w:left="2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8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By Managed</w:t>
            </w:r>
          </w:p>
        </w:tc>
        <w:tc>
          <w:tcPr>
            <w:tcW w:w="0" w:type="dxa"/>
            <w:vAlign w:val="bottom"/>
          </w:tcPr>
          <w:p>
            <w:pPr>
              <w:spacing w:after="0"/>
              <w:rPr>
                <w:sz w:val="1"/>
                <w:szCs w:val="1"/>
                <w:color w:val="auto"/>
              </w:rPr>
            </w:pPr>
          </w:p>
        </w:tc>
      </w:tr>
      <w:tr>
        <w:trPr>
          <w:trHeight w:val="213"/>
        </w:trPr>
        <w:tc>
          <w:tcPr>
            <w:tcW w:w="2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Accounts of</w:t>
            </w:r>
          </w:p>
        </w:tc>
        <w:tc>
          <w:tcPr>
            <w:tcW w:w="0" w:type="dxa"/>
            <w:vAlign w:val="bottom"/>
          </w:tcPr>
          <w:p>
            <w:pPr>
              <w:spacing w:after="0"/>
              <w:rPr>
                <w:sz w:val="1"/>
                <w:szCs w:val="1"/>
                <w:color w:val="auto"/>
              </w:rPr>
            </w:pPr>
          </w:p>
        </w:tc>
      </w:tr>
      <w:tr>
        <w:trPr>
          <w:trHeight w:val="233"/>
        </w:trPr>
        <w:tc>
          <w:tcPr>
            <w:tcW w:w="2820" w:type="dxa"/>
            <w:vAlign w:val="bottom"/>
          </w:tcPr>
          <w:p>
            <w:pPr>
              <w:ind w:left="60"/>
              <w:spacing w:after="0" w:line="233" w:lineRule="exact"/>
              <w:rPr>
                <w:sz w:val="20"/>
                <w:szCs w:val="20"/>
                <w:color w:val="auto"/>
              </w:rPr>
            </w:pPr>
            <w:r>
              <w:rPr>
                <w:rFonts w:ascii="Times New Roman" w:cs="Times New Roman" w:eastAsia="Times New Roman" w:hAnsi="Times New Roman"/>
                <w:sz w:val="17"/>
                <w:szCs w:val="17"/>
                <w:color w:val="0000FF"/>
              </w:rPr>
              <w:t>Common Stock, $0.0001 par value</w:t>
            </w:r>
            <w:r>
              <w:rPr>
                <w:rFonts w:ascii="Times New Roman" w:cs="Times New Roman" w:eastAsia="Times New Roman" w:hAnsi="Times New Roman"/>
                <w:sz w:val="22"/>
                <w:szCs w:val="22"/>
                <w:color w:val="008000"/>
                <w:vertAlign w:val="superscript"/>
              </w:rPr>
              <w:t>(1)</w:t>
            </w:r>
          </w:p>
        </w:tc>
        <w:tc>
          <w:tcPr>
            <w:tcW w:w="1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0000FF"/>
              </w:rPr>
              <w:t>1,618,492</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I</w:t>
            </w:r>
          </w:p>
        </w:tc>
        <w:tc>
          <w:tcPr>
            <w:tcW w:w="12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JCP</w:t>
            </w:r>
          </w:p>
        </w:tc>
        <w:tc>
          <w:tcPr>
            <w:tcW w:w="0" w:type="dxa"/>
            <w:vAlign w:val="bottom"/>
          </w:tcPr>
          <w:p>
            <w:pPr>
              <w:spacing w:after="0"/>
              <w:rPr>
                <w:sz w:val="1"/>
                <w:szCs w:val="1"/>
                <w:color w:val="auto"/>
              </w:rPr>
            </w:pPr>
          </w:p>
        </w:tc>
      </w:tr>
    </w:tbl>
    <w:p>
      <w:pPr>
        <w:ind w:left="9940"/>
        <w:spacing w:after="0"/>
        <w:rPr>
          <w:sz w:val="20"/>
          <w:szCs w:val="20"/>
          <w:color w:val="auto"/>
        </w:rPr>
      </w:pPr>
      <w:r>
        <w:rPr>
          <w:rFonts w:ascii="Times New Roman" w:cs="Times New Roman" w:eastAsia="Times New Roman" w:hAnsi="Times New Roman"/>
          <w:sz w:val="17"/>
          <w:szCs w:val="17"/>
          <w:color w:val="0000FF"/>
        </w:rPr>
        <w:t>Investment</w:t>
      </w:r>
    </w:p>
    <w:p>
      <w:pPr>
        <w:spacing w:after="0" w:line="11" w:lineRule="exact"/>
        <w:rPr>
          <w:sz w:val="24"/>
          <w:szCs w:val="24"/>
          <w:color w:val="auto"/>
        </w:rPr>
      </w:pPr>
    </w:p>
    <w:p>
      <w:pPr>
        <w:ind w:left="9940"/>
        <w:spacing w:after="0"/>
        <w:rPr>
          <w:sz w:val="20"/>
          <w:szCs w:val="20"/>
          <w:color w:val="auto"/>
        </w:rPr>
      </w:pPr>
      <w:r>
        <w:rPr>
          <w:rFonts w:ascii="Times New Roman" w:cs="Times New Roman" w:eastAsia="Times New Roman" w:hAnsi="Times New Roman"/>
          <w:sz w:val="17"/>
          <w:szCs w:val="17"/>
          <w:color w:val="0000FF"/>
        </w:rPr>
        <w:t>Management,</w:t>
      </w:r>
    </w:p>
    <w:p>
      <w:pPr>
        <w:ind w:left="9940"/>
        <w:spacing w:after="0" w:line="185" w:lineRule="auto"/>
        <w:rPr>
          <w:sz w:val="20"/>
          <w:szCs w:val="20"/>
          <w:color w:val="auto"/>
        </w:rPr>
      </w:pPr>
      <w:r>
        <w:rPr>
          <w:rFonts w:ascii="Times New Roman" w:cs="Times New Roman" w:eastAsia="Times New Roman" w:hAnsi="Times New Roman"/>
          <w:sz w:val="26"/>
          <w:szCs w:val="26"/>
          <w:color w:val="0000FF"/>
          <w:vertAlign w:val="subscript"/>
        </w:rPr>
        <w:t>LP</w:t>
      </w:r>
      <w:r>
        <w:rPr>
          <w:rFonts w:ascii="Times New Roman" w:cs="Times New Roman" w:eastAsia="Times New Roman" w:hAnsi="Times New Roman"/>
          <w:sz w:val="10"/>
          <w:szCs w:val="10"/>
          <w:color w:val="008000"/>
        </w:rPr>
        <w:t>(4)</w:t>
      </w:r>
    </w:p>
    <w:p>
      <w:pPr>
        <w:spacing w:after="0" w:line="147"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gridSpan w:val="2"/>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3"/>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Pappas James C</w:t>
              </w:r>
            </w:hyperlink>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1177 WEST LOOP SOUTH</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SUITE 1320</w:t>
            </w:r>
          </w:p>
        </w:tc>
        <w:tc>
          <w:tcPr>
            <w:tcW w:w="1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HOUSTON</w:t>
            </w: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TX</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77027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2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JCP Investment Management, LLC</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1177 WEST LOOP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6477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647763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SUITE 1320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620" w:type="dxa"/>
            <w:vAlign w:val="bottom"/>
            <w:gridSpan w:val="4"/>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77027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gridSpan w:val="4"/>
          </w:tcPr>
          <w:p>
            <w:pPr>
              <w:ind w:left="26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5"/>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JCP Investment Partnership,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4"/>
          </w:tcPr>
          <w:p>
            <w:pPr>
              <w:ind w:left="26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1177 WEST LOOP SOUTH</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1320</w:t>
            </w:r>
          </w:p>
        </w:tc>
        <w:tc>
          <w:tcPr>
            <w:tcW w:w="1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620" w:type="dxa"/>
            <w:vAlign w:val="bottom"/>
            <w:gridSpan w:val="4"/>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77027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gridSpan w:val="4"/>
          </w:tcPr>
          <w:p>
            <w:pPr>
              <w:ind w:left="26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5"/>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JCP Investment Partners,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4"/>
          </w:tcPr>
          <w:p>
            <w:pPr>
              <w:ind w:left="26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1177 WEST LOOP SOUTH</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1320</w:t>
            </w:r>
          </w:p>
        </w:tc>
        <w:tc>
          <w:tcPr>
            <w:tcW w:w="1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620" w:type="dxa"/>
            <w:vAlign w:val="bottom"/>
            <w:gridSpan w:val="4"/>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77027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gridSpan w:val="4"/>
          </w:tcPr>
          <w:p>
            <w:pPr>
              <w:ind w:left="26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5"/>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JCP Investment Holdings,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4"/>
          </w:tcPr>
          <w:p>
            <w:pPr>
              <w:ind w:left="26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1177 WEST LOOP SOUTH</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1320</w:t>
            </w:r>
          </w:p>
        </w:tc>
        <w:tc>
          <w:tcPr>
            <w:tcW w:w="1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620" w:type="dxa"/>
            <w:vAlign w:val="bottom"/>
            <w:gridSpan w:val="4"/>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77027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gridSpan w:val="4"/>
          </w:tcPr>
          <w:p>
            <w:pPr>
              <w:ind w:left="26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filed jointly by JCP Investment Partnership, LP ("JCP Partnership"), JCP Investment Partners, LP ("JCP Partners"), JCP Investment Holdings, LLC ("JCP Holdings"), JCP Investment Management, LLC ("JCP Management") and James C. Pappas (collectively, the "Reporting Persons"). Each of the Reporting Persons may be deemed to be a member of a Section 13(d) group that collectively beneficially owns more than 10% of the Issuer's outstanding shares of Common Stock. Mr. Pappas is also a director of the Issuer. Each of the Reporting Persons disclaims beneficial ownership of the shares of Common Stock reported herein except to the extent of his or its pecuniary interest therein.</w:t>
      </w:r>
    </w:p>
    <w:p>
      <w:pPr>
        <w:spacing w:after="0" w:line="24"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entered into a stock purchase agreement, dated as of December 19, 2025 to purchase 505,555 shares of the Issuer's common stock from the seller at a price of $0.30 per share.</w:t>
      </w:r>
    </w:p>
    <w:p>
      <w:pPr>
        <w:spacing w:after="0" w:line="50" w:lineRule="exact"/>
        <w:rPr>
          <w:rFonts w:ascii="Times New Roman" w:cs="Times New Roman" w:eastAsia="Times New Roman" w:hAnsi="Times New Roman"/>
          <w:sz w:val="13"/>
          <w:szCs w:val="13"/>
          <w:color w:val="008000"/>
        </w:rPr>
      </w:pPr>
    </w:p>
    <w:p>
      <w:pPr>
        <w:ind w:left="20" w:right="4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owned directly by JCP Partnership. JCP Partners, as the general partner of JCP Partnership, may be deemed to beneficially own the shares of Common Stock owned directly by JCP Partnership. JCP Holdings, as the general partner of JCP Partners, may be deemed to beneficially own the shares of Common Stock owned directly by JCP Partnership. JCP Management, as the investment manager of JCP Partnership, may be deemed to beneficially own the shares of Common Stock owned directly by JCP Partnership. Mr. Pappas, as the managing member of JCP Management and the sole member of JCP Holdings, may be deemed to beneficially own the shares of Common Stock owned directly by JCP Partnership.</w:t>
      </w:r>
    </w:p>
    <w:p>
      <w:pPr>
        <w:spacing w:after="0" w:line="24"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held in certain accounts managed by JCP Management (the "JCP Accounts"). JCP Management, as the investment manager of the JCP Accounts, may be deemed to beneficially own the shares of Common Stock held in the JCP Accounts. Mr. Pappas, as the managing member of JCP Management, may be deemed to beneficially own the shares of Common Stock held in the JCP Accounts.</w:t>
      </w:r>
    </w:p>
    <w:p>
      <w:pPr>
        <w:sectPr>
          <w:pgSz w:w="11900" w:h="16838" w:orient="portrait"/>
          <w:cols w:equalWidth="0" w:num="1">
            <w:col w:w="10920"/>
          </w:cols>
          <w:pgMar w:left="480" w:top="125" w:right="499" w:bottom="0" w:gutter="0" w:footer="0" w:header="0"/>
        </w:sectPr>
      </w:pP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James C. Pappas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674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86741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JCP Investment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2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LLC, By: /s/ James C. Pappas,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JCP Investment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496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JCP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09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642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8642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Investment Manager,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77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477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James C. Pappas,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69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JCP Investment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80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JCP Investment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66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James C. Pappas,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67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9867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JCP Investment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518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LLC, By: /s/ James C. Pappas,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5956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595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680" w:space="80"/>
            <w:col w:w="2160"/>
          </w:cols>
          <w:pgMar w:left="480" w:top="125" w:right="499" w:bottom="0" w:gutter="0" w:footer="0" w:header="0"/>
          <w:type w:val="continuous"/>
        </w:sectPr>
      </w:pPr>
    </w:p>
    <w:bookmarkStart w:id="2" w:name="page3"/>
    <w:bookmarkEnd w:id="2"/>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13" Type="http://schemas.openxmlformats.org/officeDocument/2006/relationships/hyperlink" Target="http://www.sec.gov/cgi-bin/browse-edgar?action=getcompany&amp;CIK=0001462171" TargetMode="External"/><Relationship Id="rId14" Type="http://schemas.openxmlformats.org/officeDocument/2006/relationships/hyperlink" Target="http://www.sec.gov/cgi-bin/browse-edgar?action=getcompany&amp;CIK=0000312257" TargetMode="External"/><Relationship Id="rId15" Type="http://schemas.openxmlformats.org/officeDocument/2006/relationships/hyperlink" Target="http://www.sec.gov/cgi-bin/browse-edgar?action=getcompany&amp;CIK=0001461945" TargetMode="External"/><Relationship Id="rId17" Type="http://schemas.openxmlformats.org/officeDocument/2006/relationships/hyperlink" Target="http://www.sec.gov/cgi-bin/browse-edgar?action=getcompany&amp;CIK=0001461946" TargetMode="External"/><Relationship Id="rId18" Type="http://schemas.openxmlformats.org/officeDocument/2006/relationships/hyperlink" Target="http://www.sec.gov/cgi-bin/browse-edgar?action=getcompany&amp;CIK=0001461947" TargetMode="External"/><Relationship Id="rId19" Type="http://schemas.openxmlformats.org/officeDocument/2006/relationships/hyperlink" Target="http://www.sec.gov/cgi-bin/browse-edgar?action=getcompany&amp;CIK=00014619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2026-01-08T18:23:46Z</dcterms:created>
  <dcterms:modified xsi:type="dcterms:W3CDTF">2026-01-08T18:23:46Z</dcterms:modified>
</cp:coreProperties>
</file>