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ivfh10q063026.htm"/>
      <w:bookmarkStart w:id="1" w:name="ksivfh10q063026"/>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000-09376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049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INNOVATIVE FOOD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Florida</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20-1167761</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28" w:type="dxa"/>
          <w:right w:w="0" w:type="dxa"/>
        </w:tblCellMar>
      </w:tblPr>
      <w:tblGrid>
        <w:gridCol w:w="3245"/>
        <w:gridCol w:w="90"/>
        <w:gridCol w:w="980"/>
      </w:tblGrid>
      <w:tr>
        <w:trPr/>
        <w:tc>
          <w:tcPr>
            <w:tcW w:w="32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2528 S. 27th Ave. Broadview, Illinois </w:t>
            </w:r>
          </w:p>
        </w:tc>
        <w:tc>
          <w:tcPr>
            <w:tcW w:w="90" w:type="dxa"/>
            <w:tcBorders/>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60155</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(239) 596-0204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95"/>
        <w:gridCol w:w="2525"/>
      </w:tblGrid>
      <w:tr>
        <w:trPr/>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r>
      <w:tr>
        <w:trPr/>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c>
          <w:tcPr>
            <w:tcW w:w="252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Regulation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 As of August 12, 2026, there were 54,649,479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INNOVATIVE FOOD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TO FORM 10-Q</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55"/>
        <w:gridCol w:w="7310"/>
        <w:gridCol w:w="515"/>
      </w:tblGrid>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065" w:type="dxa"/>
            <w:gridSpan w:val="2"/>
            <w:tcBorders/>
            <w:vAlign w:val="center"/>
          </w:tcPr>
          <w:p>
            <w:pPr>
              <w:pStyle w:val="TableContents"/>
              <w:bidi w:val="0"/>
              <w:spacing w:before="0" w:after="283"/>
              <w:jc w:val="both"/>
              <w:rPr/>
            </w:pPr>
            <w:hyperlink w:anchor="a_001a">
              <w:r>
                <w:rPr>
                  <w:rStyle w:val="InternetLink"/>
                  <w:rFonts w:ascii="Times New Roman;Times;Serif" w:hAnsi="Times New Roman;Times;Serif"/>
                  <w:b/>
                  <w:sz w:val="20"/>
                </w:rPr>
                <w:t>PART I. FINANCIAL INFORMATION</w:t>
              </w:r>
            </w:hyperlink>
          </w:p>
        </w:tc>
        <w:tc>
          <w:tcPr>
            <w:tcW w:w="51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310" w:type="dxa"/>
            <w:tcBorders/>
            <w:vAlign w:val="center"/>
          </w:tcPr>
          <w:p>
            <w:pPr>
              <w:pStyle w:val="TableContents"/>
              <w:bidi w:val="0"/>
              <w:spacing w:before="0" w:after="283"/>
              <w:jc w:val="both"/>
              <w:rPr/>
            </w:pPr>
            <w:hyperlink w:anchor="a_001">
              <w:r>
                <w:rPr>
                  <w:rStyle w:val="InternetLink"/>
                  <w:rFonts w:ascii="Times New Roman;Times;Serif" w:hAnsi="Times New Roman;Times;Serif"/>
                  <w:sz w:val="20"/>
                </w:rPr>
                <w:t>Financial Statements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02">
              <w:r>
                <w:rPr>
                  <w:rStyle w:val="InternetLink"/>
                  <w:rFonts w:ascii="Times New Roman;Times;Serif" w:hAnsi="Times New Roman;Times;Serif"/>
                  <w:sz w:val="20"/>
                </w:rPr>
                <w:t>Consolidated Balance Sheets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03">
              <w:r>
                <w:rPr>
                  <w:rStyle w:val="InternetLink"/>
                  <w:rFonts w:ascii="Times New Roman;Times;Serif" w:hAnsi="Times New Roman;Times;Serif"/>
                  <w:sz w:val="20"/>
                </w:rPr>
                <w:t>Consolidated Statements of Operations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04">
              <w:r>
                <w:rPr>
                  <w:rStyle w:val="InternetLink"/>
                  <w:rFonts w:ascii="Times New Roman;Times;Serif" w:hAnsi="Times New Roman;Times;Serif"/>
                  <w:sz w:val="20"/>
                </w:rPr>
                <w:t>Consolidated Statement of Stockholders’ Equity</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05">
              <w:r>
                <w:rPr>
                  <w:rStyle w:val="InternetLink"/>
                  <w:rFonts w:ascii="Times New Roman;Times;Serif" w:hAnsi="Times New Roman;Times;Serif"/>
                  <w:sz w:val="20"/>
                </w:rPr>
                <w:t>Consolidated Statements of Cash Flows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06">
              <w:r>
                <w:rPr>
                  <w:rStyle w:val="InternetLink"/>
                  <w:rFonts w:ascii="Times New Roman;Times;Serif" w:hAnsi="Times New Roman;Times;Serif"/>
                  <w:sz w:val="20"/>
                </w:rPr>
                <w:t>Condensed Notes to the Consolidated Financial Statements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310" w:type="dxa"/>
            <w:tcBorders/>
            <w:vAlign w:val="center"/>
          </w:tcPr>
          <w:p>
            <w:pPr>
              <w:pStyle w:val="TableContents"/>
              <w:bidi w:val="0"/>
              <w:spacing w:before="0" w:after="283"/>
              <w:jc w:val="both"/>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310" w:type="dxa"/>
            <w:tcBorders/>
            <w:vAlign w:val="center"/>
          </w:tcPr>
          <w:p>
            <w:pPr>
              <w:pStyle w:val="TableContents"/>
              <w:bidi w:val="0"/>
              <w:spacing w:before="0" w:after="283"/>
              <w:jc w:val="both"/>
              <w:rPr/>
            </w:pPr>
            <w:hyperlink w:anchor="a_008">
              <w:r>
                <w:rPr>
                  <w:rStyle w:val="InternetLink"/>
                  <w:rFonts w:ascii="Times New Roman;Times;Serif" w:hAnsi="Times New Roman;Times;Serif"/>
                  <w:sz w:val="20"/>
                </w:rPr>
                <w:t>Quantitative and Qualitative Disclosures About Market Risk</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310" w:type="dxa"/>
            <w:tcBorders/>
            <w:vAlign w:val="center"/>
          </w:tcPr>
          <w:p>
            <w:pPr>
              <w:pStyle w:val="TableContents"/>
              <w:bidi w:val="0"/>
              <w:spacing w:before="0" w:after="283"/>
              <w:jc w:val="both"/>
              <w:rPr/>
            </w:pPr>
            <w:hyperlink w:anchor="a_009">
              <w:r>
                <w:rPr>
                  <w:rStyle w:val="InternetLink"/>
                  <w:rFonts w:ascii="Times New Roman;Times;Serif" w:hAnsi="Times New Roman;Times;Serif"/>
                  <w:sz w:val="20"/>
                </w:rPr>
                <w:t>Controls and Procedures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8065" w:type="dxa"/>
            <w:gridSpan w:val="2"/>
            <w:tcBorders/>
            <w:vAlign w:val="center"/>
          </w:tcPr>
          <w:p>
            <w:pPr>
              <w:pStyle w:val="TableContents"/>
              <w:bidi w:val="0"/>
              <w:spacing w:before="0" w:after="283"/>
              <w:jc w:val="both"/>
              <w:rPr/>
            </w:pPr>
            <w:hyperlink w:anchor="a_010">
              <w:r>
                <w:rPr>
                  <w:rStyle w:val="InternetLink"/>
                  <w:rFonts w:ascii="Times New Roman;Times;Serif" w:hAnsi="Times New Roman;Times;Serif"/>
                  <w:b/>
                  <w:sz w:val="20"/>
                </w:rPr>
                <w:t>PART II. OTHER INFORMATION</w:t>
              </w:r>
            </w:hyperlink>
          </w:p>
        </w:tc>
        <w:tc>
          <w:tcPr>
            <w:tcW w:w="51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310" w:type="dxa"/>
            <w:tcBorders/>
            <w:vAlign w:val="center"/>
          </w:tcPr>
          <w:p>
            <w:pPr>
              <w:pStyle w:val="TableContents"/>
              <w:bidi w:val="0"/>
              <w:spacing w:before="0" w:after="283"/>
              <w:jc w:val="both"/>
              <w:rPr/>
            </w:pPr>
            <w:hyperlink w:anchor="a_011">
              <w:r>
                <w:rPr>
                  <w:rStyle w:val="InternetLink"/>
                  <w:rFonts w:ascii="Times New Roman;Times;Serif" w:hAnsi="Times New Roman;Times;Serif"/>
                  <w:sz w:val="20"/>
                </w:rPr>
                <w:t>Legal Proceedings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310" w:type="dxa"/>
            <w:tcBorders/>
            <w:vAlign w:val="center"/>
          </w:tcPr>
          <w:p>
            <w:pPr>
              <w:pStyle w:val="TableContents"/>
              <w:bidi w:val="0"/>
              <w:spacing w:before="0" w:after="283"/>
              <w:jc w:val="both"/>
              <w:rPr/>
            </w:pPr>
            <w:hyperlink w:anchor="a_012">
              <w:r>
                <w:rPr>
                  <w:rStyle w:val="InternetLink"/>
                </w:rPr>
                <w:t>Risk Factors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310" w:type="dxa"/>
            <w:tcBorders/>
            <w:vAlign w:val="center"/>
          </w:tcPr>
          <w:p>
            <w:pPr>
              <w:pStyle w:val="TableContents"/>
              <w:bidi w:val="0"/>
              <w:spacing w:before="0" w:after="283"/>
              <w:jc w:val="both"/>
              <w:rPr/>
            </w:pPr>
            <w:hyperlink w:anchor="a_013">
              <w:r>
                <w:rPr>
                  <w:rStyle w:val="InternetLink"/>
                  <w:rFonts w:ascii="Times New Roman;Times;Serif" w:hAnsi="Times New Roman;Times;Serif"/>
                  <w:sz w:val="20"/>
                </w:rPr>
                <w:t>Unregistered Sales of Equity Securities and Use of Proceeds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310" w:type="dxa"/>
            <w:tcBorders/>
            <w:vAlign w:val="center"/>
          </w:tcPr>
          <w:p>
            <w:pPr>
              <w:pStyle w:val="TableContents"/>
              <w:bidi w:val="0"/>
              <w:spacing w:before="0" w:after="283"/>
              <w:jc w:val="both"/>
              <w:rPr/>
            </w:pPr>
            <w:hyperlink w:anchor="a_014">
              <w:r>
                <w:rPr>
                  <w:rStyle w:val="InternetLink"/>
                  <w:rFonts w:ascii="Times New Roman;Times;Serif" w:hAnsi="Times New Roman;Times;Serif"/>
                  <w:sz w:val="20"/>
                </w:rPr>
                <w:t>Defaults Upon Senior Securities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310" w:type="dxa"/>
            <w:tcBorders/>
            <w:vAlign w:val="center"/>
          </w:tcPr>
          <w:p>
            <w:pPr>
              <w:pStyle w:val="TableContents"/>
              <w:bidi w:val="0"/>
              <w:spacing w:before="0" w:after="283"/>
              <w:jc w:val="both"/>
              <w:rPr/>
            </w:pPr>
            <w:hyperlink w:anchor="a_015">
              <w:r>
                <w:rPr>
                  <w:rStyle w:val="InternetLink"/>
                  <w:rFonts w:ascii="Times New Roman;Times;Serif" w:hAnsi="Times New Roman;Times;Serif"/>
                  <w:sz w:val="20"/>
                </w:rPr>
                <w:t>Mine Safety Disclosures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310" w:type="dxa"/>
            <w:tcBorders/>
            <w:vAlign w:val="center"/>
          </w:tcPr>
          <w:p>
            <w:pPr>
              <w:pStyle w:val="TableContents"/>
              <w:bidi w:val="0"/>
              <w:spacing w:before="0" w:after="283"/>
              <w:jc w:val="both"/>
              <w:rPr/>
            </w:pPr>
            <w:hyperlink w:anchor="a_016">
              <w:r>
                <w:rPr>
                  <w:rStyle w:val="InternetLink"/>
                  <w:rFonts w:ascii="Times New Roman;Times;Serif" w:hAnsi="Times New Roman;Times;Serif"/>
                  <w:sz w:val="20"/>
                </w:rPr>
                <w:t>Other Information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310" w:type="dxa"/>
            <w:tcBorders/>
            <w:vAlign w:val="center"/>
          </w:tcPr>
          <w:p>
            <w:pPr>
              <w:pStyle w:val="TableContents"/>
              <w:bidi w:val="0"/>
              <w:spacing w:before="0" w:after="283"/>
              <w:jc w:val="both"/>
              <w:rPr/>
            </w:pPr>
            <w:hyperlink w:anchor="a_017">
              <w:r>
                <w:rPr>
                  <w:rStyle w:val="InternetLink"/>
                  <w:rFonts w:ascii="Times New Roman;Times;Serif" w:hAnsi="Times New Roman;Times;Serif"/>
                  <w:sz w:val="20"/>
                </w:rPr>
                <w:t>Exhibits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5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both"/>
              <w:rPr/>
            </w:pPr>
            <w:hyperlink w:anchor="a_018">
              <w:r>
                <w:rPr>
                  <w:rStyle w:val="InternetLink"/>
                  <w:rFonts w:ascii="Times New Roman;Times;Serif" w:hAnsi="Times New Roman;Times;Serif"/>
                  <w:sz w:val="20"/>
                </w:rPr>
                <w:t>Signatures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a"/>
      <w:bookmarkEnd w:id="3"/>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 w:name="a_001"/>
      <w:bookmarkEnd w:id="4"/>
      <w:r>
        <w:rPr>
          <w:rFonts w:ascii="Times New Roman;Times;Serif" w:hAnsi="Times New Roman;Times;Serif"/>
          <w:b/>
          <w:i w:val="false"/>
          <w:caps w:val="false"/>
          <w:smallCaps w:val="false"/>
          <w:sz w:val="20"/>
        </w:rPr>
        <w:t>Item 1.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Innovative Food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5"/>
        <w:gridCol w:w="90"/>
        <w:gridCol w:w="170"/>
        <w:gridCol w:w="1205"/>
        <w:gridCol w:w="125"/>
        <w:gridCol w:w="90"/>
        <w:gridCol w:w="173"/>
        <w:gridCol w:w="1230"/>
        <w:gridCol w:w="147"/>
      </w:tblGrid>
      <w:tr>
        <w:trPr/>
        <w:tc>
          <w:tcPr>
            <w:tcW w:w="6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December 31,</w:t>
            </w:r>
          </w:p>
        </w:tc>
        <w:tc>
          <w:tcPr>
            <w:tcW w:w="147" w:type="dxa"/>
            <w:tcBorders/>
            <w:vAlign w:val="center"/>
          </w:tcPr>
          <w:p>
            <w:pPr>
              <w:pStyle w:val="TableContents"/>
              <w:bidi w:val="0"/>
              <w:spacing w:before="0" w:after="283"/>
              <w:jc w:val="left"/>
              <w:rPr/>
            </w:pPr>
            <w:r>
              <w:rPr/>
              <w:t> </w:t>
            </w:r>
          </w:p>
        </w:tc>
      </w:tr>
      <w:tr>
        <w:trPr/>
        <w:tc>
          <w:tcPr>
            <w:tcW w:w="6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jc w:val="left"/>
              <w:rPr/>
            </w:pPr>
            <w:r>
              <w:rPr/>
              <w:t> </w:t>
            </w:r>
          </w:p>
        </w:tc>
      </w:tr>
      <w:tr>
        <w:trPr/>
        <w:tc>
          <w:tcPr>
            <w:tcW w:w="697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8565" w:type="dxa"/>
            <w:gridSpan w:val="5"/>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1,820,127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927,468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Cash, restricted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507,517</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Accounts receivable, net of allowance for doubtful accounts of $259,446 and $218,319,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5,301,528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5,300,190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Inventory,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2,893,036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3,473,604</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63,505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144,143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Asset held for sale - discontinued operations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6,144,793</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Current assets -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20,929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281,699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Total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10,099,125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16,779,414</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1,214,231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1,273,310</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Right of use assets - operating leases,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373,416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512,389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Right of use assets - finance leases,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16,155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205,340</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Amortizable 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294,902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338,059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Indefinite-lived 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217,000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217,000</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40,000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Noncurrent assets - discontinued operations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215,509</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12,254,829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19,581,021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2,013,048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2,456,429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Accrued payroll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219,120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79,559</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446,440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499,811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Accrued separation costs - related parties,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425,376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109,236</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Stock appreciation rights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16,143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Notes payable,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68,032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66,026</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Lease liability - operating leases,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302,620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285,534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Lease liability - finance leases,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48,866</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Current liabilities -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27,330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8,877,624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Total 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3,501,966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12,439,228</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Note payable non-current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182,242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216,947</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Accrued separation costs - related parties,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400,000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Lease liability - operating leases, non-current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81,013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234,963</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Lease liability - finance leases,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52,683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3,765,221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13,343,821</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Commitments &amp; contingencies (see note 18)</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Stockholders’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Common stock: $0.0001 par value; 500,000,000 shares authorized; 57,493,776 shares issued, and 54,649,479 shares outstanding at June 30,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5,746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Additional paid-in capital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45,695,650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45,647,902</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Treasury stock: 2,644,297 shares outstanding at June 30, 2026 and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(1,141,372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(1,141,372</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6975" w:type="dxa"/>
            <w:tcBorders/>
            <w:shd w:fill="FFFFFF" w:val="clear"/>
            <w:vAlign w:val="center"/>
          </w:tcPr>
          <w:p>
            <w:pPr>
              <w:pStyle w:val="TableContents"/>
              <w:bidi w:val="0"/>
              <w:spacing w:before="0" w:after="283"/>
              <w:jc w:val="left"/>
              <w:rPr/>
            </w:pPr>
            <w:r>
              <w:rPr/>
              <w:t>Accumulated deficit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(36,070,416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(38,275,076</w:t>
            </w:r>
          </w:p>
        </w:tc>
        <w:tc>
          <w:tcPr>
            <w:tcW w:w="147" w:type="dxa"/>
            <w:tcBorders/>
            <w:shd w:fill="FFFFFF" w:val="clear"/>
            <w:vAlign w:val="center"/>
          </w:tcPr>
          <w:p>
            <w:pPr>
              <w:pStyle w:val="TableContents"/>
              <w:bidi w:val="0"/>
              <w:spacing w:before="0" w:after="283"/>
              <w:ind w:left="0" w:right="0" w:hanging="180"/>
              <w:jc w:val="left"/>
              <w:rPr/>
            </w:pPr>
            <w:r>
              <w:rPr/>
              <w:t>)</w:t>
            </w:r>
          </w:p>
        </w:tc>
      </w:tr>
      <w:tr>
        <w:trPr/>
        <w:tc>
          <w:tcPr>
            <w:tcW w:w="6975"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8,489,608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6,237,200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69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ind w:left="0" w:right="0" w:hanging="180"/>
              <w:jc w:val="left"/>
              <w:rPr/>
            </w:pPr>
            <w:r>
              <w:rPr/>
              <w:t> </w:t>
            </w:r>
          </w:p>
        </w:tc>
      </w:tr>
      <w:tr>
        <w:trPr/>
        <w:tc>
          <w:tcPr>
            <w:tcW w:w="6975"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12,254,829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19,581,021</w:t>
            </w:r>
          </w:p>
        </w:tc>
        <w:tc>
          <w:tcPr>
            <w:tcW w:w="14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Innovative Food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7"/>
        <w:gridCol w:w="90"/>
        <w:gridCol w:w="183"/>
        <w:gridCol w:w="1221"/>
        <w:gridCol w:w="125"/>
        <w:gridCol w:w="90"/>
        <w:gridCol w:w="183"/>
        <w:gridCol w:w="1221"/>
        <w:gridCol w:w="125"/>
        <w:gridCol w:w="90"/>
        <w:gridCol w:w="170"/>
        <w:gridCol w:w="1130"/>
        <w:gridCol w:w="125"/>
        <w:gridCol w:w="90"/>
        <w:gridCol w:w="170"/>
        <w:gridCol w:w="1130"/>
        <w:gridCol w:w="155"/>
      </w:tblGrid>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For the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For the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For the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For the</w:t>
            </w:r>
          </w:p>
        </w:tc>
        <w:tc>
          <w:tcPr>
            <w:tcW w:w="155" w:type="dxa"/>
            <w:tcBorders/>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Three Months</w:t>
              <w:br/>
              <w:t>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Three Months</w:t>
              <w:br/>
              <w:t>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Six Months</w:t>
              <w:br/>
              <w:t>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Six Months</w:t>
              <w:br/>
              <w:t>Ended</w:t>
            </w:r>
          </w:p>
        </w:tc>
        <w:tc>
          <w:tcPr>
            <w:tcW w:w="155" w:type="dxa"/>
            <w:tcBorders/>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June 30,</w:t>
            </w:r>
          </w:p>
        </w:tc>
        <w:tc>
          <w:tcPr>
            <w:tcW w:w="155" w:type="dxa"/>
            <w:tcBorders/>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3907"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13,057,122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16,637,690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25,233,695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31,663,705</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9,638,652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12,358,878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18,692,604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23,464,629</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3,418,470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4,278,812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6,541,091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8,199,076</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3,023,457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3,452,242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5,795,385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7,112,050</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Total operating expenses</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3,023,457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3,452,242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5,795,385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7,112,050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Operating income</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395,013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826,570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745,706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1,087,026</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Other income (expense):</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Interest income (expense), net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(1,014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(7,932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(7,651</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3907" w:type="dxa"/>
            <w:tcBorders/>
            <w:shd w:fill="FFFFFF" w:val="clear"/>
            <w:vAlign w:val="center"/>
          </w:tcPr>
          <w:p>
            <w:pPr>
              <w:pStyle w:val="TableContents"/>
              <w:bidi w:val="0"/>
              <w:spacing w:before="0" w:after="283"/>
              <w:jc w:val="left"/>
              <w:rPr/>
            </w:pPr>
            <w:r>
              <w:rPr/>
              <w:t>Total other income (expense)</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(630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(7,932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(7,651</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before taxes</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394,383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825,556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737,774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1,079,375</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Income tax expense</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28,391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28,391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from continuing operations</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21" w:type="dxa"/>
            <w:tcBorders/>
            <w:shd w:fill="FFFFFF" w:val="clear"/>
            <w:vAlign w:val="center"/>
          </w:tcPr>
          <w:p>
            <w:pPr>
              <w:pStyle w:val="TableContents"/>
              <w:bidi w:val="0"/>
              <w:spacing w:before="0" w:after="283"/>
              <w:jc w:val="right"/>
              <w:rPr/>
            </w:pPr>
            <w:r>
              <w:rPr/>
              <w:t>365,992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21" w:type="dxa"/>
            <w:tcBorders/>
            <w:shd w:fill="FFFFFF" w:val="clear"/>
            <w:vAlign w:val="center"/>
          </w:tcPr>
          <w:p>
            <w:pPr>
              <w:pStyle w:val="TableContents"/>
              <w:bidi w:val="0"/>
              <w:spacing w:before="0" w:after="283"/>
              <w:jc w:val="right"/>
              <w:rPr/>
            </w:pPr>
            <w:r>
              <w:rPr/>
              <w:t>825,556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709,383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1,079,375</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(loss) from discontinued operations</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(1,608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(767,046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1,495,277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(1,451,301</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Consolidated net income (loss)</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364,384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58,510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2,204,660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(371,926</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per share from continuing operations - basic</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per share from continuing operations - diluted</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(loss) per share from discontinued operations - basic</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(0.027</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Net income (loss) per share from discontinued operations - diluted</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(0.014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(0.027</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Weighted average shares outstanding - basic</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54,649,479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54,785,684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54,649,479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54,376,253</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39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907" w:type="dxa"/>
            <w:tcBorders/>
            <w:shd w:fill="FFFFFF" w:val="clear"/>
            <w:vAlign w:val="center"/>
          </w:tcPr>
          <w:p>
            <w:pPr>
              <w:pStyle w:val="TableContents"/>
              <w:bidi w:val="0"/>
              <w:spacing w:before="0" w:after="283"/>
              <w:jc w:val="left"/>
              <w:rPr/>
            </w:pPr>
            <w:r>
              <w:rPr/>
              <w:t>Weighted average shares outstanding - diluted</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54,649,479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pPr>
            <w:r>
              <w:rPr/>
              <w:t>54,785,684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54,649,479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54,376,253</w:t>
            </w:r>
          </w:p>
        </w:tc>
        <w:tc>
          <w:tcPr>
            <w:tcW w:w="1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Innovative Food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600" w:type="dxa"/>
        <w:jc w:val="left"/>
        <w:tblInd w:w="0" w:type="dxa"/>
        <w:tblLayout w:type="fixed"/>
        <w:tblCellMar>
          <w:top w:w="0" w:type="dxa"/>
          <w:left w:w="0" w:type="dxa"/>
          <w:bottom w:w="0" w:type="dxa"/>
          <w:right w:w="0" w:type="dxa"/>
        </w:tblCellMar>
      </w:tblPr>
      <w:tblGrid>
        <w:gridCol w:w="1040"/>
        <w:gridCol w:w="90"/>
        <w:gridCol w:w="90"/>
        <w:gridCol w:w="860"/>
        <w:gridCol w:w="90"/>
        <w:gridCol w:w="90"/>
        <w:gridCol w:w="140"/>
        <w:gridCol w:w="455"/>
        <w:gridCol w:w="90"/>
        <w:gridCol w:w="90"/>
        <w:gridCol w:w="90"/>
        <w:gridCol w:w="830"/>
        <w:gridCol w:w="110"/>
        <w:gridCol w:w="90"/>
        <w:gridCol w:w="140"/>
        <w:gridCol w:w="380"/>
        <w:gridCol w:w="110"/>
        <w:gridCol w:w="90"/>
        <w:gridCol w:w="140"/>
        <w:gridCol w:w="860"/>
        <w:gridCol w:w="110"/>
        <w:gridCol w:w="90"/>
        <w:gridCol w:w="90"/>
        <w:gridCol w:w="770"/>
        <w:gridCol w:w="90"/>
        <w:gridCol w:w="90"/>
        <w:gridCol w:w="140"/>
        <w:gridCol w:w="830"/>
        <w:gridCol w:w="110"/>
        <w:gridCol w:w="90"/>
        <w:gridCol w:w="141"/>
        <w:gridCol w:w="929"/>
        <w:gridCol w:w="110"/>
        <w:gridCol w:w="90"/>
        <w:gridCol w:w="140"/>
        <w:gridCol w:w="770"/>
        <w:gridCol w:w="135"/>
      </w:tblGrid>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 xml:space="preserve">Common Stock </w:t>
              <w:br/>
              <w:t>to be issued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8"/>
              </w:rPr>
            </w:pPr>
            <w:r>
              <w:rPr>
                <w:b/>
                <w:sz w:val="18"/>
              </w:rPr>
              <w:t>Additional</w:t>
              <w:br/>
              <w:t>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Treasury Stock</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18"/>
              </w:rPr>
            </w:pPr>
            <w:r>
              <w:rPr>
                <w:b/>
                <w:sz w:val="18"/>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Total</w:t>
            </w:r>
          </w:p>
        </w:tc>
        <w:tc>
          <w:tcPr>
            <w:tcW w:w="13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April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56,831,090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455" w:type="dxa"/>
            <w:tcBorders/>
            <w:shd w:fill="CCEEFF" w:val="clear"/>
            <w:vAlign w:val="center"/>
          </w:tcPr>
          <w:p>
            <w:pPr>
              <w:pStyle w:val="TableContents"/>
              <w:bidi w:val="0"/>
              <w:spacing w:before="0" w:after="283"/>
              <w:jc w:val="right"/>
              <w:rPr>
                <w:sz w:val="18"/>
              </w:rPr>
            </w:pPr>
            <w:r>
              <w:rPr>
                <w:sz w:val="18"/>
              </w:rPr>
              <w:t>5,680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798,891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380" w:type="dxa"/>
            <w:tcBorders/>
            <w:shd w:fill="CCEEFF" w:val="clear"/>
            <w:vAlign w:val="center"/>
          </w:tcPr>
          <w:p>
            <w:pPr>
              <w:pStyle w:val="TableContents"/>
              <w:bidi w:val="0"/>
              <w:spacing w:before="0" w:after="283"/>
              <w:jc w:val="right"/>
              <w:rPr>
                <w:sz w:val="18"/>
              </w:rPr>
            </w:pPr>
            <w:r>
              <w:rPr>
                <w:sz w:val="18"/>
              </w:rPr>
              <w:t>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60" w:type="dxa"/>
            <w:tcBorders/>
            <w:shd w:fill="CCEEFF" w:val="clear"/>
            <w:vAlign w:val="center"/>
          </w:tcPr>
          <w:p>
            <w:pPr>
              <w:pStyle w:val="TableContents"/>
              <w:bidi w:val="0"/>
              <w:spacing w:before="0" w:after="283"/>
              <w:jc w:val="right"/>
              <w:rPr>
                <w:sz w:val="18"/>
              </w:rPr>
            </w:pPr>
            <w:r>
              <w:rPr>
                <w:sz w:val="18"/>
              </w:rPr>
              <w:t>45,621,235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18"/>
              </w:rPr>
            </w:pPr>
            <w:r>
              <w:rPr>
                <w:sz w:val="18"/>
              </w:rPr>
              <w:t>$</w:t>
            </w:r>
          </w:p>
        </w:tc>
        <w:tc>
          <w:tcPr>
            <w:tcW w:w="929" w:type="dxa"/>
            <w:tcBorders/>
            <w:shd w:fill="CCEEFF" w:val="clear"/>
            <w:vAlign w:val="center"/>
          </w:tcPr>
          <w:p>
            <w:pPr>
              <w:pStyle w:val="TableContents"/>
              <w:bidi w:val="0"/>
              <w:spacing w:before="0" w:after="283"/>
              <w:jc w:val="right"/>
              <w:rPr>
                <w:sz w:val="18"/>
              </w:rPr>
            </w:pPr>
            <w:r>
              <w:rPr>
                <w:sz w:val="18"/>
              </w:rPr>
              <w:t>(36,640,200</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770" w:type="dxa"/>
            <w:tcBorders/>
            <w:shd w:fill="CCEEFF" w:val="clear"/>
            <w:vAlign w:val="center"/>
          </w:tcPr>
          <w:p>
            <w:pPr>
              <w:pStyle w:val="TableContents"/>
              <w:bidi w:val="0"/>
              <w:spacing w:before="0" w:after="283"/>
              <w:jc w:val="right"/>
              <w:rPr>
                <w:sz w:val="18"/>
              </w:rPr>
            </w:pPr>
            <w:r>
              <w:rPr>
                <w:sz w:val="18"/>
              </w:rPr>
              <w:t>7,845,422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101,201</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101,201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issued under compensation plans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365,204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(365,204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18"/>
              </w:rPr>
            </w:pPr>
            <w:r>
              <w:rPr>
                <w:sz w:val="18"/>
              </w:rPr>
              <w:t>(37</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Net loss for the three months ended June 30,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58,510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58,510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57,196,294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433,687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45,722,436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(36,581,690</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8,005,133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April 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57,493,776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455" w:type="dxa"/>
            <w:tcBorders/>
            <w:shd w:fill="CCEEFF" w:val="clear"/>
            <w:vAlign w:val="center"/>
          </w:tcPr>
          <w:p>
            <w:pPr>
              <w:pStyle w:val="TableContents"/>
              <w:bidi w:val="0"/>
              <w:spacing w:before="0" w:after="283"/>
              <w:jc w:val="right"/>
              <w:rPr>
                <w:sz w:val="18"/>
              </w:rPr>
            </w:pPr>
            <w:r>
              <w:rPr>
                <w:sz w:val="18"/>
              </w:rPr>
              <w:t>5,746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38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60" w:type="dxa"/>
            <w:tcBorders/>
            <w:shd w:fill="CCEEFF" w:val="clear"/>
            <w:vAlign w:val="center"/>
          </w:tcPr>
          <w:p>
            <w:pPr>
              <w:pStyle w:val="TableContents"/>
              <w:bidi w:val="0"/>
              <w:spacing w:before="0" w:after="283"/>
              <w:jc w:val="right"/>
              <w:rPr>
                <w:sz w:val="18"/>
              </w:rPr>
            </w:pPr>
            <w:r>
              <w:rPr>
                <w:sz w:val="18"/>
              </w:rPr>
              <w:t>45,671,776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18"/>
              </w:rPr>
            </w:pPr>
            <w:r>
              <w:rPr>
                <w:sz w:val="18"/>
              </w:rPr>
              <w:t>$</w:t>
            </w:r>
          </w:p>
        </w:tc>
        <w:tc>
          <w:tcPr>
            <w:tcW w:w="929" w:type="dxa"/>
            <w:tcBorders/>
            <w:shd w:fill="CCEEFF" w:val="clear"/>
            <w:vAlign w:val="center"/>
          </w:tcPr>
          <w:p>
            <w:pPr>
              <w:pStyle w:val="TableContents"/>
              <w:bidi w:val="0"/>
              <w:spacing w:before="0" w:after="283"/>
              <w:jc w:val="right"/>
              <w:rPr>
                <w:sz w:val="18"/>
              </w:rPr>
            </w:pPr>
            <w:r>
              <w:rPr>
                <w:sz w:val="18"/>
              </w:rPr>
              <w:t>(36,434,800</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770" w:type="dxa"/>
            <w:tcBorders/>
            <w:shd w:fill="CCEEFF" w:val="clear"/>
            <w:vAlign w:val="center"/>
          </w:tcPr>
          <w:p>
            <w:pPr>
              <w:pStyle w:val="TableContents"/>
              <w:bidi w:val="0"/>
              <w:spacing w:before="0" w:after="283"/>
              <w:jc w:val="right"/>
              <w:rPr>
                <w:sz w:val="18"/>
              </w:rPr>
            </w:pPr>
            <w:r>
              <w:rPr>
                <w:sz w:val="18"/>
              </w:rPr>
              <w:t>8,101,350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23,874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23,874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Net income for the three months ended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364,384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364,384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b/>
                <w:sz w:val="18"/>
              </w:rPr>
            </w:pPr>
            <w:r>
              <w:rPr>
                <w:b/>
                <w:sz w:val="18"/>
              </w:rPr>
              <w:t>Balance - June 30, 2026</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57,493,776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5,746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45,695,650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(36,070,416</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8,489,608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b/>
                <w:sz w:val="18"/>
              </w:rPr>
            </w:pPr>
            <w:r>
              <w:rPr>
                <w:b/>
                <w:sz w:val="18"/>
              </w:rPr>
              <w:t>Balance - January 1, 2025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56,009,032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5,598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738,032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74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45,520,121</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2,644,297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(1,141,372</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(36,209,764</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8,174,657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202,402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202,402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Shares issued in cashless conversion of options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84,026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(8</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earned under compensation plans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798,891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18"/>
              </w:rPr>
            </w:pPr>
            <w:r>
              <w:rPr>
                <w:sz w:val="18"/>
              </w:rPr>
              <w:t>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(79</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Shares issued under compensation plans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1,103,236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111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(1,103,236</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(111</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Net income for the six months ended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(371,926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(371,926</w:t>
            </w:r>
          </w:p>
        </w:tc>
        <w:tc>
          <w:tcPr>
            <w:tcW w:w="13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040" w:type="dxa"/>
            <w:tcBorders/>
            <w:shd w:fill="FFFFFF" w:val="clear"/>
            <w:vAlign w:val="center"/>
          </w:tcPr>
          <w:p>
            <w:pPr>
              <w:pStyle w:val="TableContents"/>
              <w:bidi w:val="0"/>
              <w:spacing w:before="0" w:after="283"/>
              <w:jc w:val="left"/>
              <w:rPr>
                <w:b/>
                <w:sz w:val="18"/>
              </w:rPr>
            </w:pPr>
            <w:r>
              <w:rPr>
                <w:b/>
                <w:sz w:val="18"/>
              </w:rPr>
              <w:t>Balance - June 30,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57,196,294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5,717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433,687</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45,722,436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(36,581,690</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8,005,133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b/>
                <w:sz w:val="18"/>
              </w:rPr>
            </w:pPr>
            <w:r>
              <w:rPr>
                <w:b/>
                <w:sz w:val="18"/>
              </w:rPr>
              <w:t>Balance - January 1, 2026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57,493,776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8"/>
              </w:rPr>
            </w:pPr>
            <w:r>
              <w:rPr>
                <w:sz w:val="18"/>
              </w:rPr>
              <w:t>5,746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18"/>
              </w:rPr>
            </w:pPr>
            <w:r>
              <w:rPr>
                <w:sz w:val="18"/>
              </w:rPr>
              <w:t>45,647,902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2,644,297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(1,141,372</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sz w:val="18"/>
              </w:rPr>
            </w:pPr>
            <w:r>
              <w:rPr>
                <w:sz w:val="18"/>
              </w:rPr>
              <w:t>(38,275,076</w:t>
            </w:r>
          </w:p>
        </w:tc>
        <w:tc>
          <w:tcPr>
            <w:tcW w:w="110" w:type="dxa"/>
            <w:tcBorders/>
            <w:shd w:fill="FFFFFF" w:val="clear"/>
            <w:vAlign w:val="center"/>
          </w:tcPr>
          <w:p>
            <w:pPr>
              <w:pStyle w:val="TableContents"/>
              <w:bidi w:val="0"/>
              <w:spacing w:before="0" w:after="283"/>
              <w:jc w:val="lef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6,237,200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47,748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47,748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sz w:val="18"/>
              </w:rPr>
            </w:pPr>
            <w:r>
              <w:rPr>
                <w:sz w:val="18"/>
              </w:rPr>
              <w:t>Net income for the six months ended June 30, 2026</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2,204,660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2,204,660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57,493,776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45,695,650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(36,070,416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8,489,608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Innovative Food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8"/>
        <w:gridCol w:w="90"/>
        <w:gridCol w:w="170"/>
        <w:gridCol w:w="1085"/>
        <w:gridCol w:w="125"/>
        <w:gridCol w:w="90"/>
        <w:gridCol w:w="170"/>
        <w:gridCol w:w="1085"/>
        <w:gridCol w:w="162"/>
      </w:tblGrid>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For the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For the</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Six Months</w:t>
              <w:br/>
              <w:t>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Six Months</w:t>
              <w:br/>
              <w:t>Ended</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June 30,</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2,204,660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(371,926</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Adjustments to reconcile net income (loss) to net cash provided by (used in)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Gain on disposition of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(2,685,277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Loss on extinguishment of debt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608,539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141,902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218,474</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Amortization of right of use asset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138,973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123,972</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Amortization of discount on notes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2,568</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Stock based compensation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47,748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202,402</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Change in value of stock appreciation rights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(16,143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(227,263</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Provision for credit losses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15,530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28,310</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Changes in assets and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179,316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2,094,325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Inventory,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580,568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389,479</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80,638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(99,711</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Accounts payable and accrued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(700,498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(2,473,041</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Accrued separation costs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(83,860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(166,665</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Deferred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(3,800</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Operating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(136,864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(119,411</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Net cash provided by (used in)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375,232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(402,287</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Cash flows from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received from sale of land and building, net of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8,782,365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Cash paid for purchase of property and equipment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(31,183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(208,886</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Cash received from disposition of asset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Net cash provided by (used in)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8,761,182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(208,886</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Cash flows from financing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Principal payments on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(8,809,669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(88,654</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Principal payments on financing leases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(6,189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(126,813</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Cash received from line of credit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500,000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Principal payments on line of credit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Net cash 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(8,815,858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(215,467</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Increase (decrease) in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320,556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(826,640</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and cash equivalents,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1,520,012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2,380,195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and cash equivalents, and restricted cash at end of period -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1,820,127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1,520,335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Cash and cash equivalents, and restricted cash at end of period - discontinued operations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20,441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33,220</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and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1,840,568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1,553,555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Cash paid during the period for: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197,138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409,271</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28,391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Issuance of common stock under compensation plans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74</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Issuance of common stock from common stock to be issued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37</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shd w:fill="FFFFFF" w:val="clear"/>
            <w:vAlign w:val="center"/>
          </w:tcPr>
          <w:p>
            <w:pPr>
              <w:pStyle w:val="TableContents"/>
              <w:bidi w:val="0"/>
              <w:spacing w:before="0" w:after="283"/>
              <w:jc w:val="left"/>
              <w:rPr/>
            </w:pPr>
            <w:r>
              <w:rPr/>
              <w:t>Issuance of stock for cashless exercise of options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Capitalized interest on financing lease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1,130</w:t>
            </w:r>
          </w:p>
        </w:tc>
        <w:tc>
          <w:tcPr>
            <w:tcW w:w="1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INNOVATIVE FOOD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ACTIVITIES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include those of Innovative Food Holdings, Inc. and all of its wholly-owned subsidiaries (collectively, the “Company”) and have been prepared in accordance with generally accepted accounting principles in the United States of America (“U.S. GAAP”) pursuant to Regulation S-X of the Securities and Exchange Commission (the “SEC”) and with the instructions to Form 10-Q. Certain information and footnote disclosures normally included in audited consolidated financial statements prepared in accordance with U.S. GAAP have been condensed or omitted. Accordingly, these interim financial statements should be read in conjunction with the Company’s audited financial statements and related notes as contained in its Annual Report on Form 10-K for the year ended December 31, 2025. In the opinion of management, the interim unaudited consolidated financial statements reflect all adjustments, including normal recurring adjustments, necessary for fair presentation of the interim periods presented. The results of the operations for the three and six months ended June 30, 2026 are not necessarily indicative of the results of operations to be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difficult-to-find specialty foods primarily to both Professional Chefs and Home Gourmets through the Company’s relationships with producers, growers, makers and distributors of these products worldwide. The distribution of these products primarily originates from the Company’s two unified warehouses and those of its drop ship partners, and is driven by its proprietary technology platform. In addition, the Company provides value-added services through its team of food specialists and Chef Advisors who offer customer support, menu ideas, and preparation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relied on the guidance of Accounting Standards Codification (“ASC”) 205-20, </w:t>
      </w:r>
      <w:r>
        <w:rPr>
          <w:rFonts w:ascii="Times New Roman;Times;Serif" w:hAnsi="Times New Roman;Times;Serif"/>
          <w:b w:val="false"/>
          <w:i/>
          <w:caps w:val="false"/>
          <w:smallCaps w:val="false"/>
          <w:sz w:val="20"/>
        </w:rPr>
        <w:t xml:space="preserve">Presentation of Financial Statements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Discontinued Operations, </w:t>
      </w:r>
      <w:r>
        <w:rPr>
          <w:rFonts w:ascii="Times New Roman;Times;Serif" w:hAnsi="Times New Roman;Times;Serif"/>
          <w:b w:val="false"/>
          <w:i w:val="false"/>
          <w:caps w:val="false"/>
          <w:smallCaps w:val="false"/>
          <w:sz w:val="20"/>
        </w:rPr>
        <w:t>in presenting the results of its discontinued operations. During the third quarter of fiscal 2025, the Company committed to a strategic exit of its retail specialty cheese business, which served as the primary component of its national distribution platform. Accordingly, results for this business for all prior periods presented have been retrospectively reclassified to discontinued operations in accordance with ASC 205-20. In connection with this decision, the Company also elected to discontinue its related logistics operations and specialty cheese cutting activities, including igourmet, along with the Company’s logistics subsidiaries (Logistics Innovations LLC (“LII”) and Innovative Food Properties LLC (“IFP”)). During the year ended December 31, 2025, the accounts of the following entities are included in net loss from discontinued operations and in the discontinued operations sections of the Company’s balance sheet: IFP, LII, and the activity of igourmet directly related to its cheese business.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presented in the financial statements of the prior period have been reclassified to conform with the current period presentation of discontinued operations. See Note 3. In addition, restricted cash has been included with unrestricted cash in the cash totals in the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unaudited consolidated financial statements requires the Company to make estimates and judgments that affect the reported amounts of assets, liabilities, revenues and expenses, and related disclosure of contingent assets and liabilities. On an on-going basis, the Company evaluates these estimates, including those related to revenue recognition and concentration of credit risk.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credit losses, allowance for slow moving and obsolete inventory, income taxes, contingent liabilities, operating and finance right of use assets and liabilities, and equity-based instruments. Actual results may differ from these estimates under different assumptions or conditions. The Company believes its estimates have not been materially inaccurate in past years, and its assumptions are not likely to change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Concentrations of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and related items, which potentially subject the Company to concentrations of credit risk, consist primarily of cash, cash equivalents and trade accounts receivable. The Company places its cash and temporary cash in investments with credit quality institutions. At times, such investments may be in excess of applicable government mandated insurance limit. As of June 30, 2026 and December 31, 2025, trade receivables from the Company’s largest customer accounted for approximately 20% and 18%, respectively, of total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in excess of Federal Deposit Insurance Corporation limits. At June 30, 2026 and December 31, 2025, the total cash exceeding these limits was $570 and $261,808,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allowance for credit losses estimate is based on historical collections experience, future expected losses, as well as identified customer specific collection issues. Accounts receivable are presented net of an allowance for credit losses of $259,446 and $218,319 at June 30, 2026 and December 31, 2025, respectively. It is reasonably possible that the Company’s estimate of the allowance for credit losses could change. During the three and six months ended June 30, 2026 and 2025, the Company charged $7,331 and $755 and $15,530 and $28,310 to provision for credit losses,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valued at the lower of cost or net realizable value and is determined by the average cost method. The Company adjusts inventory based upon bi-weekly cycle counts and upon the expiration date of food products. In addition, the Company records a provision for excess, obsolete, and slow-moving inventory. This provision reduces the carrying value of inventory to its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upon product delivery. All of the Company’s products are shipped either same day or overnight or through longer shipping terms to the customer and the customer takes title to product and assumes risk and ownership of the product when it is delivered. Shipping charges to customers are included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revenue from product sales (i.e., specialty foodservice and e-commerce), 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 and logistics services revenue is primarily comprised of inventory management, order fulfilment and warehousing services. Warehouse and logistics services revenues are recognized at the point in time when the services are rendered to the customer. Warehouse rental services are recognized over the period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 disaggregation of revenue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2060"/>
        <w:gridCol w:w="90"/>
        <w:gridCol w:w="170"/>
        <w:gridCol w:w="1130"/>
        <w:gridCol w:w="90"/>
        <w:gridCol w:w="90"/>
        <w:gridCol w:w="170"/>
        <w:gridCol w:w="1130"/>
        <w:gridCol w:w="90"/>
        <w:gridCol w:w="90"/>
        <w:gridCol w:w="170"/>
        <w:gridCol w:w="1130"/>
        <w:gridCol w:w="90"/>
        <w:gridCol w:w="90"/>
        <w:gridCol w:w="170"/>
        <w:gridCol w:w="1130"/>
        <w:gridCol w:w="135"/>
      </w:tblGrid>
      <w:tr>
        <w:trPr/>
        <w:tc>
          <w:tcPr>
            <w:tcW w:w="2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13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both"/>
              <w:rPr/>
            </w:pPr>
            <w:r>
              <w:rPr/>
              <w:t>Digital Channels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7,058,453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8,446,427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13,695,210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16,235,954</w:t>
            </w:r>
          </w:p>
        </w:tc>
        <w:tc>
          <w:tcPr>
            <w:tcW w:w="13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both"/>
              <w:rPr/>
            </w:pPr>
            <w:r>
              <w:rPr/>
              <w:t>National Distribution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2,780,031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3,958,552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5,258,919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6,761,422</w:t>
            </w:r>
          </w:p>
        </w:tc>
        <w:tc>
          <w:tcPr>
            <w:tcW w:w="13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both"/>
              <w:rPr/>
            </w:pPr>
            <w:r>
              <w:rPr/>
              <w:t>Local Distribution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3,218,638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4,232,711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6,279,566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8,666,329</w:t>
            </w:r>
          </w:p>
        </w:tc>
        <w:tc>
          <w:tcPr>
            <w:tcW w:w="13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13,057,122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16,637,690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25,233,695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31,663,705</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in cost of goods sold all costs which are directly related to the generation of revenue. These costs include primarily the cost of food and raw materials, packing and handling, shipping, and delivery costs. The Company has also included all payroll costs as cost of goods sold in its warehouse and logistics services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Basic and Diluted Earnings Per Share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EPS is based on the weighted average number of shares outstanding during the period, while fully-diluted net EPS is based on the weighted average number of shares of common stock and potentially dilutive securities assumed to be outstanding during the period using the treasury stock method. Potentially dilutive securities consist of options and restricted stock awards (“RSAs”).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and warrants for which the exercise price exceeds the average market price over the period have an anti-dilutive effect on earnings per common share and, accordingly, are excluded from the calculation.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0"/>
        <w:gridCol w:w="90"/>
        <w:gridCol w:w="170"/>
        <w:gridCol w:w="1130"/>
        <w:gridCol w:w="90"/>
        <w:gridCol w:w="90"/>
        <w:gridCol w:w="170"/>
        <w:gridCol w:w="1130"/>
        <w:gridCol w:w="90"/>
        <w:gridCol w:w="90"/>
        <w:gridCol w:w="170"/>
        <w:gridCol w:w="1130"/>
        <w:gridCol w:w="90"/>
        <w:gridCol w:w="90"/>
        <w:gridCol w:w="170"/>
        <w:gridCol w:w="1130"/>
        <w:gridCol w:w="135"/>
      </w:tblGrid>
      <w:tr>
        <w:trPr/>
        <w:tc>
          <w:tcPr>
            <w:tcW w:w="4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35" w:type="dxa"/>
            <w:tcBorders/>
            <w:vAlign w:val="center"/>
          </w:tcPr>
          <w:p>
            <w:pPr>
              <w:pStyle w:val="TableContents"/>
              <w:bidi w:val="0"/>
              <w:spacing w:before="0" w:after="283"/>
              <w:jc w:val="left"/>
              <w:rPr/>
            </w:pPr>
            <w:r>
              <w:rPr/>
              <w:t> </w:t>
            </w:r>
          </w:p>
        </w:tc>
      </w:tr>
      <w:tr>
        <w:trPr/>
        <w:tc>
          <w:tcPr>
            <w:tcW w:w="4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240" w:type="dxa"/>
            <w:tcBorders/>
            <w:vAlign w:val="center"/>
          </w:tcPr>
          <w:p>
            <w:pPr>
              <w:pStyle w:val="TableContents"/>
              <w:bidi w:val="0"/>
              <w:spacing w:before="0" w:after="283"/>
              <w:jc w:val="both"/>
              <w:rPr>
                <w:b/>
              </w:rPr>
            </w:pPr>
            <w:r>
              <w:rPr>
                <w:b/>
              </w:rPr>
              <w:t>Numerator:</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240" w:type="dxa"/>
            <w:tcBorders/>
            <w:shd w:fill="CCEEFF" w:val="clear"/>
            <w:vAlign w:val="center"/>
          </w:tcPr>
          <w:p>
            <w:pPr>
              <w:pStyle w:val="TableContents"/>
              <w:bidi w:val="0"/>
              <w:spacing w:before="0" w:after="283"/>
              <w:jc w:val="both"/>
              <w:rPr/>
            </w:pPr>
            <w:r>
              <w:rPr/>
              <w:t>Income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365,992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825,556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709,383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1,079,375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240" w:type="dxa"/>
            <w:tcBorders/>
            <w:shd w:fill="FFFFFF" w:val="clear"/>
            <w:vAlign w:val="center"/>
          </w:tcPr>
          <w:p>
            <w:pPr>
              <w:pStyle w:val="TableContents"/>
              <w:bidi w:val="0"/>
              <w:spacing w:before="0" w:after="283"/>
              <w:jc w:val="both"/>
              <w:rPr>
                <w:b/>
              </w:rPr>
            </w:pPr>
            <w:r>
              <w:rPr>
                <w:b/>
              </w:rPr>
              <w:t>Denominator: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r>
      <w:tr>
        <w:trPr/>
        <w:tc>
          <w:tcPr>
            <w:tcW w:w="4240" w:type="dxa"/>
            <w:tcBorders/>
            <w:shd w:fill="CCEEFF" w:val="clear"/>
            <w:vAlign w:val="center"/>
          </w:tcPr>
          <w:p>
            <w:pPr>
              <w:pStyle w:val="TableContents"/>
              <w:bidi w:val="0"/>
              <w:spacing w:before="0" w:after="283"/>
              <w:jc w:val="both"/>
              <w:rPr/>
            </w:pPr>
            <w:r>
              <w:rPr/>
              <w:t>Weighted average shares outstanding – basic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54,649,479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54,785,684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54,649,479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54,376,253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240" w:type="dxa"/>
            <w:tcBorders/>
            <w:shd w:fill="FFFFFF" w:val="clear"/>
            <w:vAlign w:val="center"/>
          </w:tcPr>
          <w:p>
            <w:pPr>
              <w:pStyle w:val="TableContents"/>
              <w:bidi w:val="0"/>
              <w:spacing w:before="0" w:after="283"/>
              <w:jc w:val="both"/>
              <w:rPr/>
            </w:pPr>
            <w:r>
              <w:rPr/>
              <w:t>Dilutive effect of stock issuable under compensation plan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0"/>
              <w:jc w:val="left"/>
              <w:rPr/>
            </w:pPr>
            <w:r>
              <w:rPr/>
              <w:t> </w:t>
            </w:r>
          </w:p>
        </w:tc>
      </w:tr>
      <w:tr>
        <w:trPr/>
        <w:tc>
          <w:tcPr>
            <w:tcW w:w="4240" w:type="dxa"/>
            <w:tcBorders/>
            <w:shd w:fill="CCEEFF" w:val="clear"/>
            <w:vAlign w:val="center"/>
          </w:tcPr>
          <w:p>
            <w:pPr>
              <w:pStyle w:val="TableContents"/>
              <w:bidi w:val="0"/>
              <w:spacing w:before="0" w:after="283"/>
              <w:jc w:val="both"/>
              <w:rPr/>
            </w:pPr>
            <w:r>
              <w:rPr/>
              <w:t>Weighted average shares outstanding -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54,649,479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54,785,684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54,649,479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54,376,253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24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r>
      <w:tr>
        <w:trPr/>
        <w:tc>
          <w:tcPr>
            <w:tcW w:w="4240" w:type="dxa"/>
            <w:tcBorders/>
            <w:shd w:fill="CCEEFF" w:val="clear"/>
            <w:vAlign w:val="center"/>
          </w:tcPr>
          <w:p>
            <w:pPr>
              <w:pStyle w:val="TableContents"/>
              <w:bidi w:val="0"/>
              <w:spacing w:before="0" w:after="283"/>
              <w:jc w:val="both"/>
              <w:rPr/>
            </w:pPr>
            <w:r>
              <w:rPr/>
              <w:t>Income per share from continuing operations -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Shares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there were 300,000 unvested RSAs remaining from grants in a prior year. Those 300,000 RSAs will vest as follows: 125,000 RSAs will vest contingent upon the attainment of a stock price of $2.00 per share for 20 straight trading days, and an additional 175,000 RSAs will vest contingent upon the attainment of a stock price of $3.00 per share for 20 straight trading days. At June 30, 2026, none of these RSAs vested as conditions were not satisfied. Accordingly, there was no charge for these RSAs during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in place Executive Stock Plans for its executive team. See Note 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shares are granted under the Company’s Executive Stock Plans, the Company withholds the number of shares required to satisfy income tax withholding requirements on the award, calculated at the market value of the Company’s stock on the date the award is granted.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charged the amount of $23,874 and $47,748, respectively, to operations in connection with Executive Stock Plans. See Note 14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there were no shares of common stock which have vested and are issuable pursuant to Executive 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Computation of Basic and Diluted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potentially issuable shares not included in basic earnings per share, and no difference between EPS and fully-diluted EPS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Shares at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were 300,000 unvested RSAs remaining from grants in a prior year. Those 300,000 RSAs will vest as follows: 125,000 RSAs will vest contingent upon the attainment of a stock price of $2.00 per share for 20 straight trading days, and an additional 175,000 RSAs will vest contingent upon the attainment of a stock price of $3.00 per share for 20 straight trading days. The fair value of these RSAs at the date of the grants will be charged to operations upon vesting. At June 30, 2025, none of these RSAs were vested. There was no charge to operations for these RSAs during the three and six months ended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were a total of 433,687 shares of common stock potentially issuable to the Company’s executive officers pursuant to compensation plans and contingent upon the achievement of certain performance goals (see Note 14). These shares have vested and are included in basic shares outstanding and fully-diluted earnings per share for the three and six months ended June 30, 2025. During the three and six months ended June 30, 2025, the amount of $101,201 and $202,402, respectively, was charged to stock-based compensation.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Computation of Basic and Diluted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potentially issuable shares not included in basic earnings per share, and no difference between EPS and fully-diluted EPS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significant provisions, such as expensing of U.S. research expenditures and eligible capital expenditures, the permanent extension of certain expiring provisions of the Tax Cuts and Jobs Act, modifications to the international tax framework and the restoration of favorable tax treatment for certain business provisions. The impacts of the OBBBA are reflected in the Company’s results for the three and six months ended June 30, 2026, and there was no impact to its income tax expense or effective income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allows companies to elect a practical expedient to assume that the current conditions as of the balance sheet date will remain unchanged for the remaining life of the asset when developing a reasonable and supportable forecast as part of estimating expected credit losses on these assets. The Company adopted ASU 2025-05 effective January 1, 2026, on a prospective basis. The adoption of this accounting standard did not have a material impact on the Company’s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is evaluating standard and its potential effect on its consolidated financial statements and segment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REVISION OF PREVIOUSLY ISSUED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Annual Report on Form 10-K for the year ended December 31, 2025, the Company revised amounts reported in previously issued financial statements for the periods presented in this Quarterly Report on Form 10-Q related to immaterial errors. The errors relate to certain costs directly related to the revenue generation and cost of goods sold. The costs were not properly categorized in prior periods, which led to an overstatement of revenue and a corresponding overstatement of cost of goods sold. There was no effect to consolidated net income (loss) in any of the revised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aggregate effects of the errors to its previously issued financial statements in accordance with SEC Staff Accounting Bulletins No. 99 and No. 108 and, based upon quantitative and qualitative factors, determined that the errors were not material to the previously issued financial statements and disclosures included in its Quarterly Report on Form 10-Q for the quarter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effects of the aforementioned revisions on the Company’s consolidated statements of operations for the quarterly period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2"/>
        <w:gridCol w:w="90"/>
        <w:gridCol w:w="171"/>
        <w:gridCol w:w="1137"/>
        <w:gridCol w:w="90"/>
        <w:gridCol w:w="90"/>
        <w:gridCol w:w="211"/>
        <w:gridCol w:w="1129"/>
        <w:gridCol w:w="125"/>
        <w:gridCol w:w="90"/>
        <w:gridCol w:w="170"/>
        <w:gridCol w:w="1130"/>
        <w:gridCol w:w="90"/>
        <w:gridCol w:w="90"/>
        <w:gridCol w:w="171"/>
        <w:gridCol w:w="1137"/>
        <w:gridCol w:w="90"/>
        <w:gridCol w:w="90"/>
        <w:gridCol w:w="181"/>
        <w:gridCol w:w="1159"/>
        <w:gridCol w:w="125"/>
        <w:gridCol w:w="90"/>
        <w:gridCol w:w="170"/>
        <w:gridCol w:w="1130"/>
        <w:gridCol w:w="137"/>
      </w:tblGrid>
      <w:tr>
        <w:trPr/>
        <w:tc>
          <w:tcPr>
            <w:tcW w:w="1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43" w:type="dxa"/>
            <w:gridSpan w:val="10"/>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43" w:type="dxa"/>
            <w:gridSpan w:val="10"/>
            <w:tcBorders/>
            <w:vAlign w:val="center"/>
          </w:tcPr>
          <w:p>
            <w:pPr>
              <w:pStyle w:val="TableContents"/>
              <w:bidi w:val="0"/>
              <w:spacing w:before="0" w:after="283"/>
              <w:jc w:val="center"/>
              <w:rPr>
                <w:b/>
              </w:rPr>
            </w:pPr>
            <w:r>
              <w:rPr>
                <w:b/>
              </w:rPr>
              <w:t>Six months ended</w:t>
            </w:r>
          </w:p>
        </w:tc>
        <w:tc>
          <w:tcPr>
            <w:tcW w:w="137"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4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2025</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4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2025</w:t>
              <w:br/>
              <w:t>(Unaudited)</w:t>
            </w:r>
          </w:p>
        </w:tc>
        <w:tc>
          <w:tcPr>
            <w:tcW w:w="137"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Revised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Revised</w:t>
            </w:r>
          </w:p>
        </w:tc>
        <w:tc>
          <w:tcPr>
            <w:tcW w:w="137" w:type="dxa"/>
            <w:tcBorders/>
            <w:vAlign w:val="center"/>
          </w:tcPr>
          <w:p>
            <w:pPr>
              <w:pStyle w:val="TableContents"/>
              <w:bidi w:val="0"/>
              <w:spacing w:before="0" w:after="283"/>
              <w:jc w:val="left"/>
              <w:rPr/>
            </w:pPr>
            <w:r>
              <w:rPr/>
              <w:t> </w:t>
            </w:r>
          </w:p>
        </w:tc>
      </w:tr>
      <w:tr>
        <w:trPr/>
        <w:tc>
          <w:tcPr>
            <w:tcW w:w="1112"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21,103,134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(642,097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20,461,037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40,651,700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(1,221,915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39,429,785</w:t>
            </w:r>
          </w:p>
        </w:tc>
        <w:tc>
          <w:tcPr>
            <w:tcW w:w="137" w:type="dxa"/>
            <w:tcBorders/>
            <w:shd w:fill="CCEEFF" w:val="clear"/>
            <w:vAlign w:val="center"/>
          </w:tcPr>
          <w:p>
            <w:pPr>
              <w:pStyle w:val="TableContents"/>
              <w:bidi w:val="0"/>
              <w:spacing w:before="0" w:after="283"/>
              <w:jc w:val="left"/>
              <w:rPr/>
            </w:pPr>
            <w:r>
              <w:rPr/>
              <w:t> </w:t>
            </w:r>
          </w:p>
        </w:tc>
      </w:tr>
      <w:tr>
        <w:trPr/>
        <w:tc>
          <w:tcPr>
            <w:tcW w:w="1112"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137" w:type="dxa"/>
            <w:tcBorders/>
            <w:shd w:fill="FFFFFF" w:val="clear"/>
            <w:vAlign w:val="center"/>
          </w:tcPr>
          <w:p>
            <w:pPr>
              <w:pStyle w:val="TableContents"/>
              <w:bidi w:val="0"/>
              <w:spacing w:before="0" w:after="283"/>
              <w:jc w:val="right"/>
              <w:rPr/>
            </w:pPr>
            <w:r>
              <w:rPr/>
              <w:t>16,669,281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(642,097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16,027,184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137" w:type="dxa"/>
            <w:tcBorders/>
            <w:shd w:fill="FFFFFF" w:val="clear"/>
            <w:vAlign w:val="center"/>
          </w:tcPr>
          <w:p>
            <w:pPr>
              <w:pStyle w:val="TableContents"/>
              <w:bidi w:val="0"/>
              <w:spacing w:before="0" w:after="283"/>
              <w:jc w:val="right"/>
              <w:rPr/>
            </w:pPr>
            <w:r>
              <w:rPr/>
              <w:t>31,732,040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(1,221,915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30,510,125</w:t>
            </w:r>
          </w:p>
        </w:tc>
        <w:tc>
          <w:tcPr>
            <w:tcW w:w="13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fiscal 2025, the Company committed to a strategic exit of its retail specialty cheese business, which served as the primary component of its national distribution platform. In connection with this decision, the Company also elected to discontinue its related logistics operations and specialty cheese cutting activities. As part of this exit, the Company has sold the associated Pennsylvania production and distribution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operating results and related assets and liabilities of the retail specialty cheese business, including igourmet, along with the Company’s logistics subsidiaries (LII and IFP) and specialty cheese cutting operations, have been reclassified to discontinued operations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presents the major classes of line item of assets and liabilities included as part of discontinued operations in the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4310"/>
        <w:gridCol w:w="90"/>
        <w:gridCol w:w="217"/>
        <w:gridCol w:w="912"/>
        <w:gridCol w:w="90"/>
        <w:gridCol w:w="90"/>
        <w:gridCol w:w="207"/>
        <w:gridCol w:w="1237"/>
        <w:gridCol w:w="135"/>
      </w:tblGrid>
      <w:tr>
        <w:trPr/>
        <w:tc>
          <w:tcPr>
            <w:tcW w:w="43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Current assets - discontinued operations:</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20,441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85,027</w:t>
            </w:r>
          </w:p>
        </w:tc>
        <w:tc>
          <w:tcPr>
            <w:tcW w:w="13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both"/>
              <w:rPr/>
            </w:pPr>
            <w:r>
              <w:rPr/>
              <w:t>Accounts receivable</w:t>
            </w:r>
          </w:p>
        </w:tc>
        <w:tc>
          <w:tcPr>
            <w:tcW w:w="9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488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196,672</w:t>
            </w:r>
          </w:p>
        </w:tc>
        <w:tc>
          <w:tcPr>
            <w:tcW w:w="13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both"/>
              <w:rPr/>
            </w:pPr>
            <w:r>
              <w:rPr/>
              <w:t>Assets held for sale</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6,144,793</w:t>
            </w:r>
          </w:p>
        </w:tc>
        <w:tc>
          <w:tcPr>
            <w:tcW w:w="13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both"/>
              <w:rPr/>
            </w:pPr>
            <w:r>
              <w:rPr/>
              <w:t>Total current assets - discontinued operations</w:t>
            </w:r>
          </w:p>
        </w:tc>
        <w:tc>
          <w:tcPr>
            <w:tcW w:w="9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912" w:type="dxa"/>
            <w:tcBorders/>
            <w:shd w:fill="FFFFFF" w:val="clear"/>
            <w:vAlign w:val="center"/>
          </w:tcPr>
          <w:p>
            <w:pPr>
              <w:pStyle w:val="TableContents"/>
              <w:bidi w:val="0"/>
              <w:spacing w:before="0" w:after="283"/>
              <w:jc w:val="right"/>
              <w:rPr/>
            </w:pPr>
            <w:r>
              <w:rPr/>
              <w:t>20,929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6,426,492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48" w:type="dxa"/>
        <w:jc w:val="left"/>
        <w:tblInd w:w="0" w:type="dxa"/>
        <w:tblLayout w:type="fixed"/>
        <w:tblCellMar>
          <w:top w:w="0" w:type="dxa"/>
          <w:left w:w="0" w:type="dxa"/>
          <w:bottom w:w="0" w:type="dxa"/>
          <w:right w:w="0" w:type="dxa"/>
        </w:tblCellMar>
      </w:tblPr>
      <w:tblGrid>
        <w:gridCol w:w="4670"/>
        <w:gridCol w:w="90"/>
        <w:gridCol w:w="229"/>
        <w:gridCol w:w="900"/>
        <w:gridCol w:w="90"/>
        <w:gridCol w:w="90"/>
        <w:gridCol w:w="245"/>
        <w:gridCol w:w="1199"/>
        <w:gridCol w:w="135"/>
      </w:tblGrid>
      <w:tr>
        <w:trPr/>
        <w:tc>
          <w:tcPr>
            <w:tcW w:w="46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Noncurrent assets - discontinued operations:</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ROU assets – financing leases, net</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215,509</w:t>
            </w:r>
          </w:p>
        </w:tc>
        <w:tc>
          <w:tcPr>
            <w:tcW w:w="13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Total noncurrent assets - discontinued operations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215,509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610"/>
        <w:gridCol w:w="90"/>
        <w:gridCol w:w="217"/>
        <w:gridCol w:w="912"/>
        <w:gridCol w:w="90"/>
        <w:gridCol w:w="90"/>
        <w:gridCol w:w="207"/>
        <w:gridCol w:w="1237"/>
        <w:gridCol w:w="135"/>
      </w:tblGrid>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Current liabilities - discontinued operations:</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Accounts payable and accrued liabilities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27,330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40,884</w:t>
            </w:r>
          </w:p>
        </w:tc>
        <w:tc>
          <w:tcPr>
            <w:tcW w:w="13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Deferred revenue</w:t>
            </w:r>
          </w:p>
        </w:tc>
        <w:tc>
          <w:tcPr>
            <w:tcW w:w="9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342,000</w:t>
            </w:r>
          </w:p>
        </w:tc>
        <w:tc>
          <w:tcPr>
            <w:tcW w:w="13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Accrued interest</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64,084</w:t>
            </w:r>
          </w:p>
        </w:tc>
        <w:tc>
          <w:tcPr>
            <w:tcW w:w="13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Notes payable, net</w:t>
            </w:r>
          </w:p>
        </w:tc>
        <w:tc>
          <w:tcPr>
            <w:tcW w:w="9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8,430,656</w:t>
            </w:r>
          </w:p>
        </w:tc>
        <w:tc>
          <w:tcPr>
            <w:tcW w:w="13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current liabilities - discontinued operations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27,330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8,877,624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presents the major classes of line items constituting the after-tax loss from discontinued operations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4"/>
        <w:gridCol w:w="90"/>
        <w:gridCol w:w="226"/>
        <w:gridCol w:w="890"/>
        <w:gridCol w:w="125"/>
        <w:gridCol w:w="90"/>
        <w:gridCol w:w="170"/>
        <w:gridCol w:w="1013"/>
        <w:gridCol w:w="125"/>
        <w:gridCol w:w="90"/>
        <w:gridCol w:w="170"/>
        <w:gridCol w:w="1010"/>
        <w:gridCol w:w="125"/>
        <w:gridCol w:w="90"/>
        <w:gridCol w:w="170"/>
        <w:gridCol w:w="1085"/>
        <w:gridCol w:w="172"/>
      </w:tblGrid>
      <w:tr>
        <w:trPr/>
        <w:tc>
          <w:tcPr>
            <w:tcW w:w="45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72" w:type="dxa"/>
            <w:tcBorders/>
            <w:vAlign w:val="center"/>
          </w:tcPr>
          <w:p>
            <w:pPr>
              <w:pStyle w:val="TableContents"/>
              <w:bidi w:val="0"/>
              <w:spacing w:before="0" w:after="283"/>
              <w:jc w:val="left"/>
              <w:rPr/>
            </w:pPr>
            <w:r>
              <w:rPr/>
              <w:t> </w:t>
            </w:r>
          </w:p>
        </w:tc>
      </w:tr>
      <w:tr>
        <w:trPr/>
        <w:tc>
          <w:tcPr>
            <w:tcW w:w="45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June 30,</w:t>
            </w:r>
          </w:p>
        </w:tc>
        <w:tc>
          <w:tcPr>
            <w:tcW w:w="172" w:type="dxa"/>
            <w:tcBorders/>
            <w:vAlign w:val="center"/>
          </w:tcPr>
          <w:p>
            <w:pPr>
              <w:pStyle w:val="TableContents"/>
              <w:bidi w:val="0"/>
              <w:spacing w:before="0" w:after="283"/>
              <w:jc w:val="left"/>
              <w:rPr/>
            </w:pPr>
            <w:r>
              <w:rPr/>
              <w:t> </w:t>
            </w:r>
          </w:p>
        </w:tc>
      </w:tr>
      <w:tr>
        <w:trPr/>
        <w:tc>
          <w:tcPr>
            <w:tcW w:w="45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r>
      <w:tr>
        <w:trPr/>
        <w:tc>
          <w:tcPr>
            <w:tcW w:w="456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(unaudited)</w:t>
            </w:r>
          </w:p>
        </w:tc>
        <w:tc>
          <w:tcPr>
            <w:tcW w:w="172" w:type="dxa"/>
            <w:tcBorders/>
            <w:vAlign w:val="center"/>
          </w:tcPr>
          <w:p>
            <w:pPr>
              <w:pStyle w:val="TableContents"/>
              <w:bidi w:val="0"/>
              <w:spacing w:before="0" w:after="283"/>
              <w:jc w:val="left"/>
              <w:rPr/>
            </w:pPr>
            <w:r>
              <w:rPr/>
              <w:t> </w:t>
            </w:r>
          </w:p>
        </w:tc>
      </w:tr>
      <w:tr>
        <w:trPr/>
        <w:tc>
          <w:tcPr>
            <w:tcW w:w="4564" w:type="dxa"/>
            <w:tcBorders/>
            <w:shd w:fill="CCEEFF" w:val="clear"/>
            <w:vAlign w:val="center"/>
          </w:tcPr>
          <w:p>
            <w:pPr>
              <w:pStyle w:val="TableContents"/>
              <w:bidi w:val="0"/>
              <w:spacing w:before="0" w:after="283"/>
              <w:jc w:val="both"/>
              <w:rPr/>
            </w:pPr>
            <w:r>
              <w:rPr/>
              <w:t>Revenue</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3,823,347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7,766,080</w:t>
            </w:r>
          </w:p>
        </w:tc>
        <w:tc>
          <w:tcPr>
            <w:tcW w:w="172" w:type="dxa"/>
            <w:tcBorders/>
            <w:shd w:fill="CCEEFF"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both"/>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3,668,306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7,045,496</w:t>
            </w:r>
          </w:p>
        </w:tc>
        <w:tc>
          <w:tcPr>
            <w:tcW w:w="172" w:type="dxa"/>
            <w:tcBorders/>
            <w:shd w:fill="FFFFFF" w:val="clear"/>
            <w:vAlign w:val="center"/>
          </w:tcPr>
          <w:p>
            <w:pPr>
              <w:pStyle w:val="TableContents"/>
              <w:bidi w:val="0"/>
              <w:spacing w:before="0" w:after="283"/>
              <w:jc w:val="left"/>
              <w:rPr/>
            </w:pPr>
            <w:r>
              <w:rPr/>
              <w:t> </w:t>
            </w:r>
          </w:p>
        </w:tc>
      </w:tr>
      <w:tr>
        <w:trPr/>
        <w:tc>
          <w:tcPr>
            <w:tcW w:w="4564" w:type="dxa"/>
            <w:tcBorders/>
            <w:shd w:fill="CCEEFF" w:val="clear"/>
            <w:vAlign w:val="center"/>
          </w:tcPr>
          <w:p>
            <w:pPr>
              <w:pStyle w:val="TableContents"/>
              <w:bidi w:val="0"/>
              <w:spacing w:before="0" w:after="283"/>
              <w:jc w:val="both"/>
              <w:rPr/>
            </w:pPr>
            <w:r>
              <w:rPr/>
              <w:t>Gross margin</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155,041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720,584</w:t>
            </w:r>
          </w:p>
        </w:tc>
        <w:tc>
          <w:tcPr>
            <w:tcW w:w="172" w:type="dxa"/>
            <w:tcBorders/>
            <w:shd w:fill="CCEEFF"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4564" w:type="dxa"/>
            <w:tcBorders/>
            <w:shd w:fill="CCEEFF" w:val="clear"/>
            <w:vAlign w:val="center"/>
          </w:tcPr>
          <w:p>
            <w:pPr>
              <w:pStyle w:val="TableContents"/>
              <w:bidi w:val="0"/>
              <w:spacing w:before="0" w:after="283"/>
              <w:jc w:val="both"/>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(1,608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(737,074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(456,047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(1,786,243</w:t>
            </w:r>
          </w:p>
        </w:tc>
        <w:tc>
          <w:tcPr>
            <w:tcW w:w="172" w:type="dxa"/>
            <w:tcBorders/>
            <w:shd w:fill="CCEEFF" w:val="clear"/>
            <w:vAlign w:val="center"/>
          </w:tcPr>
          <w:p>
            <w:pPr>
              <w:pStyle w:val="TableContents"/>
              <w:bidi w:val="0"/>
              <w:spacing w:before="0" w:after="283"/>
              <w:jc w:val="left"/>
              <w:rPr/>
            </w:pPr>
            <w:r>
              <w:rPr/>
              <w:t>)</w:t>
            </w:r>
          </w:p>
        </w:tc>
      </w:tr>
      <w:tr>
        <w:trPr/>
        <w:tc>
          <w:tcPr>
            <w:tcW w:w="45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4564" w:type="dxa"/>
            <w:tcBorders/>
            <w:shd w:fill="CCEEFF" w:val="clear"/>
            <w:vAlign w:val="center"/>
          </w:tcPr>
          <w:p>
            <w:pPr>
              <w:pStyle w:val="TableContents"/>
              <w:bidi w:val="0"/>
              <w:spacing w:before="0" w:after="283"/>
              <w:jc w:val="both"/>
              <w:rPr/>
            </w:pPr>
            <w:r>
              <w:rPr/>
              <w:t>Gain on sale of assets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2,685,277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both"/>
              <w:rPr/>
            </w:pPr>
            <w:r>
              <w:rPr/>
              <w:t>Loss on early extinguishment of debt</w:t>
            </w:r>
          </w:p>
        </w:tc>
        <w:tc>
          <w:tcPr>
            <w:tcW w:w="9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(608,539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jc w:val="left"/>
              <w:rPr/>
            </w:pPr>
            <w:r>
              <w:rPr/>
              <w:t> </w:t>
            </w:r>
          </w:p>
        </w:tc>
      </w:tr>
      <w:tr>
        <w:trPr/>
        <w:tc>
          <w:tcPr>
            <w:tcW w:w="4564" w:type="dxa"/>
            <w:tcBorders/>
            <w:shd w:fill="CCEEFF" w:val="clear"/>
            <w:vAlign w:val="center"/>
          </w:tcPr>
          <w:p>
            <w:pPr>
              <w:pStyle w:val="TableContents"/>
              <w:bidi w:val="0"/>
              <w:spacing w:before="0" w:after="283"/>
              <w:jc w:val="both"/>
              <w:rPr/>
            </w:pPr>
            <w:r>
              <w:rPr/>
              <w:t>Other expense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(185,013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(125,414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(385,642</w:t>
            </w:r>
          </w:p>
        </w:tc>
        <w:tc>
          <w:tcPr>
            <w:tcW w:w="172" w:type="dxa"/>
            <w:tcBorders/>
            <w:shd w:fill="CCEEFF" w:val="clear"/>
            <w:vAlign w:val="center"/>
          </w:tcPr>
          <w:p>
            <w:pPr>
              <w:pStyle w:val="TableContents"/>
              <w:bidi w:val="0"/>
              <w:spacing w:before="0" w:after="283"/>
              <w:ind w:left="0" w:right="0" w:hanging="180"/>
              <w:jc w:val="left"/>
              <w:rPr/>
            </w:pPr>
            <w:r>
              <w:rPr/>
              <w:t>)</w:t>
            </w:r>
          </w:p>
        </w:tc>
      </w:tr>
      <w:tr>
        <w:trPr/>
        <w:tc>
          <w:tcPr>
            <w:tcW w:w="4564" w:type="dxa"/>
            <w:tcBorders/>
            <w:shd w:fill="FFFFFF" w:val="clear"/>
            <w:vAlign w:val="center"/>
          </w:tcPr>
          <w:p>
            <w:pPr>
              <w:pStyle w:val="TableContents"/>
              <w:bidi w:val="0"/>
              <w:spacing w:before="0" w:after="283"/>
              <w:jc w:val="both"/>
              <w:rPr/>
            </w:pPr>
            <w:r>
              <w:rPr/>
              <w:t>Income (loss) from discontinued operations, net of tax</w:t>
            </w:r>
          </w:p>
        </w:tc>
        <w:tc>
          <w:tcPr>
            <w:tcW w:w="9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pPr>
            <w:r>
              <w:rPr/>
              <w:t>(1,608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(767,046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1,495,277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(1,451,301</w:t>
            </w:r>
          </w:p>
        </w:tc>
        <w:tc>
          <w:tcPr>
            <w:tcW w:w="17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presents the significant items related to discontinued operations in the statement of cash flows:</w:t>
      </w:r>
    </w:p>
    <w:p>
      <w:pPr>
        <w:pStyle w:val="TextBody"/>
        <w:bidi w:val="0"/>
        <w:spacing w:before="0" w:after="0"/>
        <w:ind w:left="0" w:right="0" w:hanging="0"/>
        <w:jc w:val="both"/>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5480"/>
        <w:gridCol w:w="90"/>
        <w:gridCol w:w="262"/>
        <w:gridCol w:w="1677"/>
        <w:gridCol w:w="125"/>
        <w:gridCol w:w="90"/>
        <w:gridCol w:w="279"/>
        <w:gridCol w:w="1660"/>
        <w:gridCol w:w="170"/>
      </w:tblGrid>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Six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Six Months Ended</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Operating activities: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Adjustment to reconcile net loss to cash</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Net cash provided by (used in) operating activities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Gain on sale of assets</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(2,685,277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Loss on early extinguishment of debt</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608,539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75,496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Changes in assets and liabilities:</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196,184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3,040,874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Inventory</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2,782,000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Accounts payable and accrued liabilities</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13,554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2,178,310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Deferred revenue</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342,000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3,799</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Investing activities:</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Cash paid for purchase of property and equipment</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(108,787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shd w:fill="FFFFFF" w:val="clear"/>
            <w:vAlign w:val="center"/>
          </w:tcPr>
          <w:p>
            <w:pPr>
              <w:pStyle w:val="TableContents"/>
              <w:bidi w:val="0"/>
              <w:spacing w:before="0" w:after="283"/>
              <w:jc w:val="left"/>
              <w:rPr/>
            </w:pPr>
            <w:r>
              <w:rPr/>
              <w:t>Proceeds from sale of fixed assets</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10,000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Cash received from sale of land and building, net of costs</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8,782,365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shd w:fill="FFFFFF" w:val="clear"/>
            <w:vAlign w:val="center"/>
          </w:tcPr>
          <w:p>
            <w:pPr>
              <w:pStyle w:val="TableContents"/>
              <w:bidi w:val="0"/>
              <w:spacing w:before="0" w:after="283"/>
              <w:jc w:val="left"/>
              <w:rPr/>
            </w:pPr>
            <w:r>
              <w:rPr/>
              <w:t>Payments on debt</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(8,740,846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t>(58,023</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Payments on financing leases</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(57,749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closed the sale of its warehouse and office facility in Mountaintop, Pennsylvania. A gain in the amount of $2,764,063 was recorded on this transaction. The following table presents components of the sale and gain:</w:t>
      </w:r>
    </w:p>
    <w:p>
      <w:pPr>
        <w:pStyle w:val="TextBody"/>
        <w:bidi w:val="0"/>
        <w:spacing w:before="0" w:after="0"/>
        <w:ind w:left="0" w:right="0" w:hanging="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3050"/>
        <w:gridCol w:w="90"/>
        <w:gridCol w:w="170"/>
        <w:gridCol w:w="1085"/>
        <w:gridCol w:w="170"/>
      </w:tblGrid>
      <w:tr>
        <w:trPr/>
        <w:tc>
          <w:tcPr>
            <w:tcW w:w="3050" w:type="dxa"/>
            <w:tcBorders/>
            <w:shd w:fill="CCEEFF" w:val="clear"/>
            <w:vAlign w:val="center"/>
          </w:tcPr>
          <w:p>
            <w:pPr>
              <w:pStyle w:val="TableContents"/>
              <w:bidi w:val="0"/>
              <w:spacing w:before="0" w:after="283"/>
              <w:jc w:val="left"/>
              <w:rPr/>
            </w:pPr>
            <w:r>
              <w:rPr/>
              <w:t>Sales price of land and building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9,225,000</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Assets held-for-sale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(6,144,793</w:t>
            </w:r>
          </w:p>
        </w:tc>
        <w:tc>
          <w:tcPr>
            <w:tcW w:w="17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ROU assets, financing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(215,509</w:t>
            </w:r>
          </w:p>
        </w:tc>
        <w:tc>
          <w:tcPr>
            <w:tcW w:w="17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Deferred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342,000</w:t>
            </w:r>
          </w:p>
        </w:tc>
        <w:tc>
          <w:tcPr>
            <w:tcW w:w="17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Legal, title, and other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(442,635</w:t>
            </w:r>
          </w:p>
        </w:tc>
        <w:tc>
          <w:tcPr>
            <w:tcW w:w="17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Gain on sale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2,764,063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transaction, the Company’s term loan with Maple Mark Bank was paid off and a loss on the early extinguishment of debt of $608,539 was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property and equipment at June 30, 2026 and December 31, 2025 is as follows:</w:t>
      </w:r>
    </w:p>
    <w:p>
      <w:pPr>
        <w:pStyle w:val="TextBody"/>
        <w:bidi w:val="0"/>
        <w:spacing w:before="0" w:after="0"/>
        <w:ind w:left="0" w:right="0" w:hanging="0"/>
        <w:jc w:val="both"/>
        <w:rPr>
          <w:caps w:val="false"/>
          <w:smallCaps w:val="false"/>
        </w:rPr>
      </w:pPr>
      <w:r>
        <w:rPr>
          <w:caps w:val="false"/>
          <w:smallCaps w:val="false"/>
        </w:rPr>
        <w:t> </w:t>
      </w:r>
    </w:p>
    <w:tbl>
      <w:tblPr>
        <w:tblW w:w="6914" w:type="dxa"/>
        <w:jc w:val="left"/>
        <w:tblInd w:w="0" w:type="dxa"/>
        <w:tblLayout w:type="fixed"/>
        <w:tblCellMar>
          <w:top w:w="0" w:type="dxa"/>
          <w:left w:w="0" w:type="dxa"/>
          <w:bottom w:w="0" w:type="dxa"/>
          <w:right w:w="0" w:type="dxa"/>
        </w:tblCellMar>
      </w:tblPr>
      <w:tblGrid>
        <w:gridCol w:w="3680"/>
        <w:gridCol w:w="90"/>
        <w:gridCol w:w="170"/>
        <w:gridCol w:w="1085"/>
        <w:gridCol w:w="125"/>
        <w:gridCol w:w="90"/>
        <w:gridCol w:w="203"/>
        <w:gridCol w:w="1301"/>
        <w:gridCol w:w="170"/>
      </w:tblGrid>
      <w:tr>
        <w:trPr/>
        <w:tc>
          <w:tcPr>
            <w:tcW w:w="36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208,140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208,140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Building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951,101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951,101</w:t>
            </w:r>
          </w:p>
        </w:tc>
        <w:tc>
          <w:tcPr>
            <w:tcW w:w="17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Computer and 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267,157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262,769</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Warehouse Equipment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451,432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451,432</w:t>
            </w:r>
          </w:p>
        </w:tc>
        <w:tc>
          <w:tcPr>
            <w:tcW w:w="17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Furniture and Fixtures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690,563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694,715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Vehicles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311,659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286,509</w:t>
            </w:r>
          </w:p>
        </w:tc>
        <w:tc>
          <w:tcPr>
            <w:tcW w:w="17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Total before 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2,880,052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2,854,666</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Less: accumulated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(1,665,821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(1,581,356</w:t>
            </w:r>
          </w:p>
        </w:tc>
        <w:tc>
          <w:tcPr>
            <w:tcW w:w="170"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1,214,231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1" w:type="dxa"/>
            <w:tcBorders>
              <w:bottom w:val="double" w:sz="6" w:space="0" w:color="000000"/>
            </w:tcBorders>
            <w:shd w:fill="CCEEFF" w:val="clear"/>
            <w:tcMar>
              <w:bottom w:w="28" w:type="dxa"/>
            </w:tcMar>
            <w:vAlign w:val="center"/>
          </w:tcPr>
          <w:p>
            <w:pPr>
              <w:pStyle w:val="TableContents"/>
              <w:bidi w:val="0"/>
              <w:spacing w:before="0" w:after="283"/>
              <w:jc w:val="right"/>
              <w:rPr/>
            </w:pPr>
            <w:r>
              <w:rPr/>
              <w:t>1,273,310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property and equipment amounted to $45,936 and $88,594 for the three months ended June 30, 2026 and 2025, respectively, and $84,687 and $175,318 for the six months ended June 30, 2026 and 2025, respectively. Depreciation expense for property and equipment is recorded in selling, general &amp; administrative expenses on the Company’s statement of operations. During the six months ended June 30, 2026 and 2025, the Company acquired property and equipment in the amount of $31,183 and $208,886,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PROPERTY AND EQUIPMENT CLASSIFIED AS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classified the land and building located at 220 Oak Hill Road, Mountain Top, Pennsylvania, as held for sale. During the year ended December 31, 2025, the Company classified certain leasehold improvements at the Mountain Top property as held for sale. This property was sold during the six months ended June 30, 2026. See Note 4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book value of these assets consisted of the following at December 31, 2025:</w:t>
      </w:r>
    </w:p>
    <w:p>
      <w:pPr>
        <w:pStyle w:val="TextBody"/>
        <w:bidi w:val="0"/>
        <w:spacing w:before="0" w:after="0"/>
        <w:ind w:left="0" w:right="0" w:hanging="0"/>
        <w:jc w:val="left"/>
        <w:rPr>
          <w:caps w:val="false"/>
          <w:smallCaps w:val="false"/>
        </w:rPr>
      </w:pPr>
      <w:r>
        <w:rPr>
          <w:caps w:val="false"/>
          <w:smallCaps w:val="false"/>
        </w:rPr>
        <w:t> </w:t>
      </w:r>
    </w:p>
    <w:tbl>
      <w:tblPr>
        <w:tblW w:w="2769" w:type="dxa"/>
        <w:jc w:val="left"/>
        <w:tblInd w:w="0" w:type="dxa"/>
        <w:tblLayout w:type="fixed"/>
        <w:tblCellMar>
          <w:top w:w="0" w:type="dxa"/>
          <w:left w:w="0" w:type="dxa"/>
          <w:bottom w:w="0" w:type="dxa"/>
          <w:right w:w="0" w:type="dxa"/>
        </w:tblCellMar>
      </w:tblPr>
      <w:tblGrid>
        <w:gridCol w:w="1100"/>
        <w:gridCol w:w="90"/>
        <w:gridCol w:w="207"/>
        <w:gridCol w:w="1237"/>
        <w:gridCol w:w="135"/>
      </w:tblGrid>
      <w:tr>
        <w:trPr/>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Equipment</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202,860</w:t>
            </w:r>
          </w:p>
        </w:tc>
        <w:tc>
          <w:tcPr>
            <w:tcW w:w="135"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Land</w:t>
            </w:r>
          </w:p>
        </w:tc>
        <w:tc>
          <w:tcPr>
            <w:tcW w:w="9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871,372</w:t>
            </w:r>
          </w:p>
        </w:tc>
        <w:tc>
          <w:tcPr>
            <w:tcW w:w="13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Building</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5,070,561</w:t>
            </w:r>
          </w:p>
        </w:tc>
        <w:tc>
          <w:tcPr>
            <w:tcW w:w="135"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jc w:val="right"/>
              <w:rPr/>
            </w:pPr>
            <w:r>
              <w:rPr/>
              <w:t>6,144,793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RIGHT OF USE ASSETS AND LEASE LIABILITIES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offices, warehouses, vehicles, and office equipment. The Company’s leases have remaining lease terms of 1 year to 3 years, some of which include options to extend.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expense for the three months ended June 30, 2026 and 2025 was entirely comprised of operating leases and amounted to $77,242 and $71,566, respectively. The Company’s lease expense for the six months ended June 30, 2026 and 2025 was entirely comprised of operating leases and amounted to $153,118 and $142,432,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ROU asset amortization for the three months ended June 30, 2026 and 2025 was $70,078 and $61,469, respectively. The Company’s ROU asset amortization for the six months ended June 30, 2026 and 2025 was $138,973 and $123,972, respectively. The difference between the lease expense and the associated ROU asset amortization consists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discount rate for operating leases was 7.00% at June 30, 2026 and December 31, 2025. The weighted-average remaining lease term of operating leases was 1.43 and 2.16 years at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 operating leases are summarized below:</w:t>
      </w:r>
    </w:p>
    <w:p>
      <w:pPr>
        <w:pStyle w:val="TextBody"/>
        <w:bidi w:val="0"/>
        <w:spacing w:before="0" w:after="0"/>
        <w:ind w:left="0" w:right="0" w:hanging="0"/>
        <w:jc w:val="both"/>
        <w:rPr>
          <w:caps w:val="false"/>
          <w:smallCaps w:val="false"/>
        </w:rPr>
      </w:pPr>
      <w:r>
        <w:rPr>
          <w:caps w:val="false"/>
          <w:smallCaps w:val="false"/>
        </w:rPr>
        <w:t> </w:t>
      </w:r>
    </w:p>
    <w:tbl>
      <w:tblPr>
        <w:tblW w:w="5263" w:type="dxa"/>
        <w:jc w:val="left"/>
        <w:tblInd w:w="0" w:type="dxa"/>
        <w:tblLayout w:type="fixed"/>
        <w:tblCellMar>
          <w:top w:w="0" w:type="dxa"/>
          <w:left w:w="0" w:type="dxa"/>
          <w:bottom w:w="0" w:type="dxa"/>
          <w:right w:w="0" w:type="dxa"/>
        </w:tblCellMar>
      </w:tblPr>
      <w:tblGrid>
        <w:gridCol w:w="2225"/>
        <w:gridCol w:w="90"/>
        <w:gridCol w:w="191"/>
        <w:gridCol w:w="938"/>
        <w:gridCol w:w="90"/>
        <w:gridCol w:w="90"/>
        <w:gridCol w:w="255"/>
        <w:gridCol w:w="1249"/>
        <w:gridCol w:w="135"/>
      </w:tblGrid>
      <w:tr>
        <w:trPr/>
        <w:tc>
          <w:tcPr>
            <w:tcW w:w="22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both"/>
              <w:rPr/>
            </w:pPr>
            <w:r>
              <w:rPr/>
              <w:t>Building</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286,219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411,060</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both"/>
              <w:rPr/>
            </w:pPr>
            <w:r>
              <w:rPr/>
              <w:t>Vehicles</w:t>
            </w:r>
          </w:p>
        </w:tc>
        <w:tc>
          <w:tcPr>
            <w:tcW w:w="9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87,197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101,329</w:t>
            </w:r>
          </w:p>
        </w:tc>
        <w:tc>
          <w:tcPr>
            <w:tcW w:w="13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both"/>
              <w:rPr/>
            </w:pPr>
            <w:r>
              <w:rPr/>
              <w:t>Right of use assets, net</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373,416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512,389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are summarized below:</w:t>
      </w:r>
    </w:p>
    <w:p>
      <w:pPr>
        <w:pStyle w:val="TextBody"/>
        <w:bidi w:val="0"/>
        <w:spacing w:before="0" w:after="0"/>
        <w:ind w:left="0" w:right="0" w:hanging="0"/>
        <w:jc w:val="both"/>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2600"/>
        <w:gridCol w:w="90"/>
        <w:gridCol w:w="178"/>
        <w:gridCol w:w="951"/>
        <w:gridCol w:w="125"/>
        <w:gridCol w:w="90"/>
        <w:gridCol w:w="228"/>
        <w:gridCol w:w="1217"/>
        <w:gridCol w:w="170"/>
      </w:tblGrid>
      <w:tr>
        <w:trPr/>
        <w:tc>
          <w:tcPr>
            <w:tcW w:w="2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Building</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296,436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419,168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Vehicles</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87,197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101,329</w:t>
            </w:r>
          </w:p>
        </w:tc>
        <w:tc>
          <w:tcPr>
            <w:tcW w:w="17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Lease liability</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383,633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520,497</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Less: current portion</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(302,620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(285,534</w:t>
            </w:r>
          </w:p>
        </w:tc>
        <w:tc>
          <w:tcPr>
            <w:tcW w:w="17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Lease liability, non-current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81,013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pPr>
            <w:r>
              <w:rPr/>
              <w:t>234,963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analysis under these lease agreements are as follows for the year ending December 31:</w:t>
      </w:r>
    </w:p>
    <w:p>
      <w:pPr>
        <w:pStyle w:val="TextBody"/>
        <w:bidi w:val="0"/>
        <w:spacing w:before="0" w:after="0"/>
        <w:ind w:left="0" w:right="0" w:hanging="0"/>
        <w:jc w:val="both"/>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2735"/>
        <w:gridCol w:w="90"/>
        <w:gridCol w:w="170"/>
        <w:gridCol w:w="830"/>
        <w:gridCol w:w="170"/>
      </w:tblGrid>
      <w:tr>
        <w:trPr/>
        <w:tc>
          <w:tcPr>
            <w:tcW w:w="2735" w:type="dxa"/>
            <w:tcBorders/>
            <w:shd w:fill="CCEEFF" w:val="clear"/>
            <w:vAlign w:val="center"/>
          </w:tcPr>
          <w:p>
            <w:pPr>
              <w:pStyle w:val="TableContents"/>
              <w:bidi w:val="0"/>
              <w:spacing w:before="0" w:after="283"/>
              <w:jc w:val="both"/>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159,944</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2027</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201,164</w:t>
            </w:r>
          </w:p>
        </w:tc>
        <w:tc>
          <w:tcPr>
            <w:tcW w:w="17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34,950</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2029</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8,737</w:t>
            </w:r>
          </w:p>
        </w:tc>
        <w:tc>
          <w:tcPr>
            <w:tcW w:w="17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404,795</w:t>
            </w:r>
          </w:p>
        </w:tc>
        <w:tc>
          <w:tcPr>
            <w:tcW w:w="17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Less: Present value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(21,162</w:t>
            </w:r>
          </w:p>
        </w:tc>
        <w:tc>
          <w:tcPr>
            <w:tcW w:w="17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Lease liability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383,633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RIGHT OF USE ASSETS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financing leases for vehicles and warehouse equipment. Right of use asset – financing leases are summarized below:</w:t>
      </w:r>
    </w:p>
    <w:p>
      <w:pPr>
        <w:pStyle w:val="TextBody"/>
        <w:bidi w:val="0"/>
        <w:spacing w:before="0" w:after="0"/>
        <w:ind w:left="0" w:right="0" w:hanging="0"/>
        <w:jc w:val="both"/>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3680"/>
        <w:gridCol w:w="90"/>
        <w:gridCol w:w="200"/>
        <w:gridCol w:w="929"/>
        <w:gridCol w:w="125"/>
        <w:gridCol w:w="90"/>
        <w:gridCol w:w="237"/>
        <w:gridCol w:w="1267"/>
        <w:gridCol w:w="170"/>
      </w:tblGrid>
      <w:tr>
        <w:trPr/>
        <w:tc>
          <w:tcPr>
            <w:tcW w:w="36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Vehicles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61,857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404,858</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Warehouse equipment</w:t>
            </w:r>
          </w:p>
        </w:tc>
        <w:tc>
          <w:tcPr>
            <w:tcW w:w="9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pPr>
            <w:r>
              <w:rPr/>
              <w:t>200,097</w:t>
            </w:r>
          </w:p>
        </w:tc>
        <w:tc>
          <w:tcPr>
            <w:tcW w:w="17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Total before accumulated depreciation</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61,857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604,955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Less: accumulated depreciation</w:t>
            </w:r>
          </w:p>
        </w:tc>
        <w:tc>
          <w:tcPr>
            <w:tcW w:w="9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pPr>
            <w:r>
              <w:rPr/>
              <w:t>(45,702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pPr>
            <w:r>
              <w:rPr/>
              <w:t>(399,615</w:t>
            </w:r>
          </w:p>
        </w:tc>
        <w:tc>
          <w:tcPr>
            <w:tcW w:w="170"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pPr>
            <w:r>
              <w:rPr/>
              <w:t>16,155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double" w:sz="6" w:space="0" w:color="000000"/>
            </w:tcBorders>
            <w:shd w:fill="CCEEFF" w:val="clear"/>
            <w:tcMar>
              <w:bottom w:w="28" w:type="dxa"/>
            </w:tcMar>
            <w:vAlign w:val="center"/>
          </w:tcPr>
          <w:p>
            <w:pPr>
              <w:pStyle w:val="TableContents"/>
              <w:bidi w:val="0"/>
              <w:spacing w:before="0" w:after="283"/>
              <w:jc w:val="right"/>
              <w:rPr/>
            </w:pPr>
            <w:r>
              <w:rPr/>
              <w:t>205,340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right of use assets for the three months ended June 30, 2026 and 2025 was $1,518 and $29,883, respectively. Depreciation expense related to right of use assets for the six months ended June 30, 2026 and 2025 was $3,036 and $59,766,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interest rate for financing leases was 5.77% at December 31, 2025. The weighted-average remaining lease term of financing leases was 2.80 years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accrued interest on financing leases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certain indefinite intangible assets pursuant to the acquisitions of Artisan Specialty Foods, Inc. (“Artisan”) and Golden Organics, Inc. (“Golden Organics”). These assets include trade names and customer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Amortizable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balances of other amortizable intangible assets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55"/>
        <w:gridCol w:w="90"/>
        <w:gridCol w:w="170"/>
        <w:gridCol w:w="830"/>
        <w:gridCol w:w="90"/>
        <w:gridCol w:w="90"/>
        <w:gridCol w:w="238"/>
        <w:gridCol w:w="1162"/>
        <w:gridCol w:w="90"/>
        <w:gridCol w:w="90"/>
        <w:gridCol w:w="170"/>
        <w:gridCol w:w="830"/>
        <w:gridCol w:w="135"/>
      </w:tblGrid>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br/>
              <w:t>(unaudited)</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both"/>
              <w:rPr/>
            </w:pPr>
            <w:r>
              <w:rPr/>
              <w:t>Total Customer lists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431,565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pPr>
            <w:r>
              <w:rPr/>
              <w:t>136,663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294,902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55"/>
        <w:gridCol w:w="90"/>
        <w:gridCol w:w="170"/>
        <w:gridCol w:w="830"/>
        <w:gridCol w:w="90"/>
        <w:gridCol w:w="90"/>
        <w:gridCol w:w="270"/>
        <w:gridCol w:w="1130"/>
        <w:gridCol w:w="90"/>
        <w:gridCol w:w="90"/>
        <w:gridCol w:w="170"/>
        <w:gridCol w:w="830"/>
        <w:gridCol w:w="135"/>
      </w:tblGrid>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both"/>
              <w:rPr/>
            </w:pPr>
            <w:r>
              <w:rPr/>
              <w:t>Total Customer lists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431,565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93,506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338,059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for the three months ended June 30, 2026 and 2025 was $21,578 and $21,578, respectively. Total amortization expense for the six months ended June 30, 2026 and 2025 was $43,157 and $43,156,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amortization expense for intangible assets as of June 30, 2026 is as follows:</w:t>
      </w:r>
    </w:p>
    <w:p>
      <w:pPr>
        <w:pStyle w:val="TextBody"/>
        <w:bidi w:val="0"/>
        <w:spacing w:before="0" w:after="0"/>
        <w:ind w:left="0" w:right="0" w:hanging="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3200"/>
        <w:gridCol w:w="90"/>
        <w:gridCol w:w="170"/>
        <w:gridCol w:w="830"/>
        <w:gridCol w:w="135"/>
      </w:tblGrid>
      <w:tr>
        <w:trPr/>
        <w:tc>
          <w:tcPr>
            <w:tcW w:w="3200" w:type="dxa"/>
            <w:tcBorders/>
            <w:vAlign w:val="center"/>
          </w:tcPr>
          <w:p>
            <w:pPr>
              <w:pStyle w:val="TableContents"/>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twelve months ending June 30,</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86,313</w:t>
            </w:r>
          </w:p>
        </w:tc>
        <w:tc>
          <w:tcPr>
            <w:tcW w:w="13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2028</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86,313</w:t>
            </w:r>
          </w:p>
        </w:tc>
        <w:tc>
          <w:tcPr>
            <w:tcW w:w="13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86,313</w:t>
            </w:r>
          </w:p>
        </w:tc>
        <w:tc>
          <w:tcPr>
            <w:tcW w:w="13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2030</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35,963</w:t>
            </w:r>
          </w:p>
        </w:tc>
        <w:tc>
          <w:tcPr>
            <w:tcW w:w="13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294,902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Indefinite-lived intangible assets consist of $217,000 of indefinite intangible assets held by Artisan.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ACCOUNTS PAYABLE AND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 at June 30, 2026 and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6694" w:type="dxa"/>
        <w:jc w:val="left"/>
        <w:tblInd w:w="0" w:type="dxa"/>
        <w:tblLayout w:type="fixed"/>
        <w:tblCellMar>
          <w:top w:w="0" w:type="dxa"/>
          <w:left w:w="0" w:type="dxa"/>
          <w:bottom w:w="0" w:type="dxa"/>
          <w:right w:w="0" w:type="dxa"/>
        </w:tblCellMar>
      </w:tblPr>
      <w:tblGrid>
        <w:gridCol w:w="3605"/>
        <w:gridCol w:w="90"/>
        <w:gridCol w:w="170"/>
        <w:gridCol w:w="1010"/>
        <w:gridCol w:w="90"/>
        <w:gridCol w:w="90"/>
        <w:gridCol w:w="216"/>
        <w:gridCol w:w="1288"/>
        <w:gridCol w:w="135"/>
      </w:tblGrid>
      <w:tr>
        <w:trPr/>
        <w:tc>
          <w:tcPr>
            <w:tcW w:w="36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Trade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2,459,488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2,956,240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both"/>
              <w:rPr/>
            </w:pPr>
            <w:r>
              <w:rPr/>
              <w:t>Accrued payroll and commissions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219,120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79,559</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2,678,608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3,035,799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ACCRUED SEPARATION COSTS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2023, the Company entered into a Severance Note, an Agreement and General Release, and a Side Letter thereto (the “SK Agreements”) with Sam Klepfish, its prior Chief Executive Officer (“CEO”), a previous board member and a board observer.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and was released to Mr. Klepfish on his separation date. The $1,000,000 portion is in the form of an unsecured, non-interest bearing-note payable to Mr. Klepfish. The SK Agreements also called for the delivery of 400,000 shares of the Company’s common stock valued at $168,000 based upon the closing price of the Company’s common stock on Mr. Klepfish’s separation date of February 28, 2023, which were delivered to Mr. Klepfish on April 26,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initially accrued in connection with the SK Agreements was $1,819,199. During the three months ended June 30, 2026 and 2025, the Company paid cash in the amount of $0 and $83,333, respectively, to Mr. Klepfish in connection with the SK Agreements. During the six months ended June 30, 2026 and 2025, the Company paid cash in the amount of $58,860 and $166,666, respectively, to Mr. Klepfish in connection with the SK Agreements. As of June 30, 2026, no further cash payments were due under the SK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2025, the Company entered into a separation agreement and general release (the “Bennett Separation Agreement”) with Bill Bennett, pursuant to which Mr. Bennett will resign from his position as the CEO of the Company, effective October 3, 2025. Pursuant to the Bennett Separation Agreement, the Company shall (i) pay Mr. Bennett a severance payments consisting of salary and consulting fees through September 30, 2026, in the total gross amount of $140,501, primarily payable in installments on the Company’s regular payroll dates; and (ii) reimbursement of Mr. Bennett’s group health insurance premiums for the period from November 1, 2025 through September 30, 2026 in the total gross amount of $32,269. During the three months ended June 30, 2026, the Company paid $8,333 for salary and consulting fees and $5,731 for insurance under the Bennett Separation Agreement. During the six months ended June 30, 2026, the Company paid $30,331 for salary and consulting fees and $17,193 for insurance under the Bennett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amounts accrued, paid, and outstanding on these agreements as of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5"/>
        <w:gridCol w:w="90"/>
        <w:gridCol w:w="170"/>
        <w:gridCol w:w="1010"/>
        <w:gridCol w:w="90"/>
        <w:gridCol w:w="90"/>
        <w:gridCol w:w="170"/>
        <w:gridCol w:w="1085"/>
        <w:gridCol w:w="125"/>
        <w:gridCol w:w="90"/>
        <w:gridCol w:w="170"/>
        <w:gridCol w:w="830"/>
        <w:gridCol w:w="90"/>
        <w:gridCol w:w="90"/>
        <w:gridCol w:w="170"/>
        <w:gridCol w:w="830"/>
        <w:gridCol w:w="90"/>
        <w:gridCol w:w="90"/>
        <w:gridCol w:w="343"/>
        <w:gridCol w:w="982"/>
        <w:gridCol w:w="135"/>
      </w:tblGrid>
      <w:tr>
        <w:trPr/>
        <w:tc>
          <w:tcPr>
            <w:tcW w:w="346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 /</w:t>
              <w:br/>
              <w:t>Issued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Non-current</w:t>
            </w:r>
          </w:p>
        </w:tc>
        <w:tc>
          <w:tcPr>
            <w:tcW w:w="135" w:type="dxa"/>
            <w:tcBorders/>
            <w:vAlign w:val="center"/>
          </w:tcPr>
          <w:p>
            <w:pPr>
              <w:pStyle w:val="TableContents"/>
              <w:bidi w:val="0"/>
              <w:spacing w:before="0" w:after="283"/>
              <w:ind w:left="0" w:right="0" w:hanging="180"/>
              <w:jc w:val="left"/>
              <w:rPr/>
            </w:pPr>
            <w:r>
              <w:rPr/>
              <w:t> </w:t>
            </w:r>
          </w:p>
        </w:tc>
      </w:tr>
      <w:tr>
        <w:trPr/>
        <w:tc>
          <w:tcPr>
            <w:tcW w:w="3465" w:type="dxa"/>
            <w:tcBorders/>
            <w:vAlign w:val="center"/>
          </w:tcPr>
          <w:p>
            <w:pPr>
              <w:pStyle w:val="TableContents"/>
              <w:bidi w:val="0"/>
              <w:spacing w:before="0" w:after="283"/>
              <w:jc w:val="both"/>
              <w:rPr/>
            </w:pPr>
            <w:r>
              <w:rPr/>
              <w:t>Mr. Klepfish:</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Cash – through March 6,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(1,000,000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      </w:t>
            </w: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Cash - upon agreement execution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250,000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(250,000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Stock - June 1, 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Stock - Issued in April 2023</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(168,000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COBRA - over eighteen months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Total – Mr. Klepfish</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1,819,199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(1,418,000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401,199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401,199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Mr. Bennett: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Salary and consulting – through September 30,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(125,670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14,831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14,831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Insurance – through September 30, 2026</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32,269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(22,923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9,346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9,346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Total – Mr. Bennett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172,770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(148,593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46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465" w:type="dxa"/>
            <w:tcBorders/>
            <w:shd w:fill="CCEEFF" w:val="clear"/>
            <w:vAlign w:val="center"/>
          </w:tcPr>
          <w:p>
            <w:pPr>
              <w:pStyle w:val="TableContents"/>
              <w:bidi w:val="0"/>
              <w:spacing w:before="0" w:after="283"/>
              <w:jc w:val="both"/>
              <w:rPr/>
            </w:pPr>
            <w:r>
              <w:rPr/>
              <w:t>Total Company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1,991,969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(1,566,593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425,376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425,376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STOCK APPRECIATION RIGHTS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15, 2023, the Company issued 1,500,000 stock appreciation rights (the “Smallwood SARs”) to Brady Smallwood, its former Chief Operating Officer (“COO”).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Smallwood SARs decreased in fair value in the amount of $733 and $287,858, respectively. During the six months ended June 30, 2026 and 2025, Smallwood SARs decreased in fair value in the amount of $16,143 and $227,263, respectively. These amounts were charged to non-cash compensation. At June 30, 2026 and December 31, 2025, the Smallwood SARs had a fair value of $0 and $16,143,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valuation of the Smallwood SARs is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020"/>
        <w:gridCol w:w="90"/>
        <w:gridCol w:w="170"/>
        <w:gridCol w:w="1085"/>
        <w:gridCol w:w="170"/>
      </w:tblGrid>
      <w:tr>
        <w:trPr/>
        <w:tc>
          <w:tcPr>
            <w:tcW w:w="3020" w:type="dxa"/>
            <w:tcBorders/>
            <w:shd w:fill="CCEEFF" w:val="clear"/>
            <w:vAlign w:val="center"/>
          </w:tcPr>
          <w:p>
            <w:pPr>
              <w:pStyle w:val="TableContents"/>
              <w:bidi w:val="0"/>
              <w:spacing w:before="0" w:after="283"/>
              <w:jc w:val="both"/>
              <w:rPr/>
            </w:pPr>
            <w:r>
              <w:rPr/>
              <w:t>May 15, 2023 -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9,794</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Loss on revaluation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245,226</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December 31, 2023 -fair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255,020</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Loss on revaluation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1,098,130</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December 31, 2024 -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1,353,150</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Gain on revaluation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(1,337,007</w:t>
            </w:r>
          </w:p>
        </w:tc>
        <w:tc>
          <w:tcPr>
            <w:tcW w:w="17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both"/>
              <w:rPr/>
            </w:pPr>
            <w:r>
              <w:rPr/>
              <w:t>December 31, 2025 -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16,143</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Gain on revaluation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(15,410</w:t>
            </w:r>
          </w:p>
        </w:tc>
        <w:tc>
          <w:tcPr>
            <w:tcW w:w="17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both"/>
              <w:rPr/>
            </w:pPr>
            <w:r>
              <w:rPr/>
              <w:t>March 31, 2026 -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733</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Gain on revaluation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(733</w:t>
            </w:r>
          </w:p>
        </w:tc>
        <w:tc>
          <w:tcPr>
            <w:tcW w:w="17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both"/>
              <w:rPr/>
            </w:pPr>
            <w:r>
              <w:rPr/>
              <w:t>June 30, 2026 -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Smallwood SARs were valued using the Black-Scholes valuation model utilizing the following variables:</w:t>
      </w:r>
    </w:p>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2165"/>
        <w:gridCol w:w="90"/>
        <w:gridCol w:w="254"/>
        <w:gridCol w:w="1685"/>
        <w:gridCol w:w="245"/>
        <w:gridCol w:w="90"/>
        <w:gridCol w:w="178"/>
        <w:gridCol w:w="1266"/>
        <w:gridCol w:w="290"/>
      </w:tblGrid>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Six Months Ended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29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b/>
              </w:rPr>
            </w:pPr>
            <w:r>
              <w:rPr>
                <w:b/>
              </w:rP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Volatility</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66.47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77.84-205.63</w:t>
            </w:r>
          </w:p>
        </w:tc>
        <w:tc>
          <w:tcPr>
            <w:tcW w:w="290" w:type="dxa"/>
            <w:tcBorders/>
            <w:shd w:fill="CCEEFF" w:val="clear"/>
            <w:vAlign w:val="center"/>
          </w:tcPr>
          <w:p>
            <w:pPr>
              <w:pStyle w:val="TableContents"/>
              <w:bidi w:val="0"/>
              <w:spacing w:before="0" w:after="283"/>
              <w:jc w:val="left"/>
              <w:rPr/>
            </w:pPr>
            <w:r>
              <w:rPr/>
              <w:t>%</w:t>
            </w:r>
          </w:p>
        </w:tc>
      </w:tr>
      <w:tr>
        <w:trPr/>
        <w:tc>
          <w:tcPr>
            <w:tcW w:w="2165" w:type="dxa"/>
            <w:tcBorders/>
            <w:shd w:fill="FFFFFF" w:val="clear"/>
            <w:vAlign w:val="center"/>
          </w:tcPr>
          <w:p>
            <w:pPr>
              <w:pStyle w:val="TableContents"/>
              <w:bidi w:val="0"/>
              <w:spacing w:before="0" w:after="283"/>
              <w:jc w:val="left"/>
              <w:rPr/>
            </w:pPr>
            <w:r>
              <w:rPr/>
              <w:t>Dividends</w:t>
            </w:r>
          </w:p>
        </w:tc>
        <w:tc>
          <w:tcPr>
            <w:tcW w:w="9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0</w:t>
            </w:r>
          </w:p>
        </w:tc>
        <w:tc>
          <w:tcPr>
            <w:tcW w:w="290" w:type="dxa"/>
            <w:tcBorders/>
            <w:shd w:fill="FFFFFF" w:val="clear"/>
            <w:vAlign w:val="center"/>
          </w:tcPr>
          <w:p>
            <w:pPr>
              <w:pStyle w:val="TableContents"/>
              <w:bidi w:val="0"/>
              <w:spacing w:before="0" w:after="283"/>
              <w:jc w:val="left"/>
              <w:rPr/>
            </w:pPr>
            <w:r>
              <w:rPr/>
              <w:t>%</w:t>
            </w:r>
          </w:p>
        </w:tc>
      </w:tr>
      <w:tr>
        <w:trPr/>
        <w:tc>
          <w:tcPr>
            <w:tcW w:w="2165" w:type="dxa"/>
            <w:tcBorders/>
            <w:shd w:fill="CCEEFF" w:val="clear"/>
            <w:vAlign w:val="center"/>
          </w:tcPr>
          <w:p>
            <w:pPr>
              <w:pStyle w:val="TableContents"/>
              <w:bidi w:val="0"/>
              <w:spacing w:before="0" w:after="283"/>
              <w:jc w:val="left"/>
              <w:rPr/>
            </w:pPr>
            <w:r>
              <w:rPr/>
              <w:t>Risk-free interest rates</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3.68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3.48-4.10</w:t>
            </w:r>
          </w:p>
        </w:tc>
        <w:tc>
          <w:tcPr>
            <w:tcW w:w="290" w:type="dxa"/>
            <w:tcBorders/>
            <w:shd w:fill="CCEEFF" w:val="clear"/>
            <w:vAlign w:val="center"/>
          </w:tcPr>
          <w:p>
            <w:pPr>
              <w:pStyle w:val="TableContents"/>
              <w:bidi w:val="0"/>
              <w:spacing w:before="0" w:after="283"/>
              <w:jc w:val="left"/>
              <w:rPr/>
            </w:pPr>
            <w:r>
              <w:rPr/>
              <w:t>%</w:t>
            </w:r>
          </w:p>
        </w:tc>
      </w:tr>
      <w:tr>
        <w:trPr/>
        <w:tc>
          <w:tcPr>
            <w:tcW w:w="2165" w:type="dxa"/>
            <w:tcBorders/>
            <w:shd w:fill="FFFFFF" w:val="clear"/>
            <w:vAlign w:val="center"/>
          </w:tcPr>
          <w:p>
            <w:pPr>
              <w:pStyle w:val="TableContents"/>
              <w:bidi w:val="0"/>
              <w:spacing w:before="0" w:after="283"/>
              <w:jc w:val="left"/>
              <w:rPr/>
            </w:pPr>
            <w:r>
              <w:rPr/>
              <w:t>Term (in years)</w:t>
            </w:r>
          </w:p>
        </w:tc>
        <w:tc>
          <w:tcPr>
            <w:tcW w:w="9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1.00-2.00</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the Company’s common stock on the date of the grant of the Smallwood SARs was $0.41. The exercise prices at the dates of the grants were $1.50 and $2.00. As of June 30, 2026, no SARs were executed and all SARs were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NOTES PAYABLE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8"/>
        <w:gridCol w:w="90"/>
        <w:gridCol w:w="180"/>
        <w:gridCol w:w="881"/>
        <w:gridCol w:w="90"/>
        <w:gridCol w:w="90"/>
        <w:gridCol w:w="245"/>
        <w:gridCol w:w="1204"/>
        <w:gridCol w:w="137"/>
      </w:tblGrid>
      <w:tr>
        <w:trPr/>
        <w:tc>
          <w:tcPr>
            <w:tcW w:w="728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7" w:type="dxa"/>
            <w:tcBorders/>
            <w:vAlign w:val="center"/>
          </w:tcPr>
          <w:p>
            <w:pPr>
              <w:pStyle w:val="TableContents"/>
              <w:bidi w:val="0"/>
              <w:spacing w:before="0" w:after="283"/>
              <w:jc w:val="left"/>
              <w:rPr/>
            </w:pPr>
            <w:r>
              <w:rPr/>
              <w:t> </w:t>
            </w:r>
          </w:p>
        </w:tc>
      </w:tr>
      <w:tr>
        <w:trPr/>
        <w:tc>
          <w:tcPr>
            <w:tcW w:w="728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61"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ind w:left="0" w:right="0" w:hanging="180"/>
              <w:jc w:val="left"/>
              <w:rPr/>
            </w:pPr>
            <w:r>
              <w:rPr/>
              <w:t> </w:t>
            </w:r>
          </w:p>
        </w:tc>
      </w:tr>
      <w:tr>
        <w:trPr/>
        <w:tc>
          <w:tcPr>
            <w:tcW w:w="7288" w:type="dxa"/>
            <w:tcBorders/>
            <w:shd w:fill="CCEEFF" w:val="clear"/>
            <w:vAlign w:val="center"/>
          </w:tcPr>
          <w:p>
            <w:pPr>
              <w:pStyle w:val="TableContents"/>
              <w:bidi w:val="0"/>
              <w:spacing w:before="0" w:after="283"/>
              <w:jc w:val="left"/>
              <w:rPr/>
            </w:pPr>
            <w:r>
              <w:rPr/>
              <w:t>A note payable in the amount of $350,000 issued in connection with the Golden Organics Acquisition (the “GO Note”). The GO Note is payable in 60 equal monthly instalments of $6,766 and bears interest at the rate of 6.0%. During the three months ended June 30, 2026, the Company made principal and interest payments of $16,381 and $3,918, respectively. During the six months ended June 30, 2026, the Company made principal and interest payments of $32,519 and $8,080, respectively. During the three months ended June 30, 2025, the Company made principal and interest payments of $15,430 and $4,870, respectively. During the six months ended June 30, 2025, the Company made principal and interest payments of $30,631 and $9,969, respectively.</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250,274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282,973</w:t>
            </w:r>
          </w:p>
        </w:tc>
        <w:tc>
          <w:tcPr>
            <w:tcW w:w="137" w:type="dxa"/>
            <w:tcBorders/>
            <w:shd w:fill="CCEEFF" w:val="clear"/>
            <w:vAlign w:val="center"/>
          </w:tcPr>
          <w:p>
            <w:pPr>
              <w:pStyle w:val="TableContents"/>
              <w:bidi w:val="0"/>
              <w:spacing w:before="0" w:after="283"/>
              <w:jc w:val="left"/>
              <w:rPr/>
            </w:pPr>
            <w:r>
              <w:rPr/>
              <w:t> </w:t>
            </w:r>
          </w:p>
        </w:tc>
      </w:tr>
      <w:tr>
        <w:trPr/>
        <w:tc>
          <w:tcPr>
            <w:tcW w:w="7288"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jc w:val="right"/>
              <w:rPr/>
            </w:pPr>
            <w:r>
              <w:rPr/>
              <w:t>250,274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282,973</w:t>
            </w:r>
          </w:p>
        </w:tc>
        <w:tc>
          <w:tcPr>
            <w:tcW w:w="137" w:type="dxa"/>
            <w:tcBorders/>
            <w:shd w:fill="FFFFFF" w:val="clear"/>
            <w:vAlign w:val="center"/>
          </w:tcPr>
          <w:p>
            <w:pPr>
              <w:pStyle w:val="TableContents"/>
              <w:bidi w:val="0"/>
              <w:spacing w:before="0" w:after="283"/>
              <w:jc w:val="left"/>
              <w:rPr/>
            </w:pPr>
            <w:r>
              <w:rPr/>
              <w:t> </w:t>
            </w:r>
          </w:p>
        </w:tc>
      </w:tr>
      <w:tr>
        <w:trPr/>
        <w:tc>
          <w:tcPr>
            <w:tcW w:w="728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7288" w:type="dxa"/>
            <w:tcBorders/>
            <w:shd w:fill="FFFFFF" w:val="clear"/>
            <w:vAlign w:val="center"/>
          </w:tcPr>
          <w:p>
            <w:pPr>
              <w:pStyle w:val="TableContents"/>
              <w:bidi w:val="0"/>
              <w:spacing w:before="0" w:after="283"/>
              <w:jc w:val="both"/>
              <w:rPr/>
            </w:pPr>
            <w:r>
              <w:rPr/>
              <w:t>Current portion</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881" w:type="dxa"/>
            <w:tcBorders/>
            <w:shd w:fill="FFFFFF" w:val="clear"/>
            <w:vAlign w:val="center"/>
          </w:tcPr>
          <w:p>
            <w:pPr>
              <w:pStyle w:val="TableContents"/>
              <w:bidi w:val="0"/>
              <w:spacing w:before="0" w:after="283"/>
              <w:jc w:val="right"/>
              <w:rPr/>
            </w:pPr>
            <w:r>
              <w:rPr/>
              <w:t>68,032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66,026</w:t>
            </w:r>
          </w:p>
        </w:tc>
        <w:tc>
          <w:tcPr>
            <w:tcW w:w="137" w:type="dxa"/>
            <w:tcBorders/>
            <w:shd w:fill="FFFFFF" w:val="clear"/>
            <w:vAlign w:val="center"/>
          </w:tcPr>
          <w:p>
            <w:pPr>
              <w:pStyle w:val="TableContents"/>
              <w:bidi w:val="0"/>
              <w:spacing w:before="0" w:after="283"/>
              <w:jc w:val="left"/>
              <w:rPr/>
            </w:pPr>
            <w:r>
              <w:rPr/>
              <w:t> </w:t>
            </w:r>
          </w:p>
        </w:tc>
      </w:tr>
      <w:tr>
        <w:trPr/>
        <w:tc>
          <w:tcPr>
            <w:tcW w:w="7288" w:type="dxa"/>
            <w:tcBorders/>
            <w:shd w:fill="CCEEFF" w:val="clear"/>
            <w:vAlign w:val="center"/>
          </w:tcPr>
          <w:p>
            <w:pPr>
              <w:pStyle w:val="TableContents"/>
              <w:bidi w:val="0"/>
              <w:spacing w:before="0" w:after="283"/>
              <w:jc w:val="both"/>
              <w:rPr/>
            </w:pPr>
            <w:r>
              <w:rPr/>
              <w:t>Long-term maturities, net of discount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182,242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216,947</w:t>
            </w:r>
          </w:p>
        </w:tc>
        <w:tc>
          <w:tcPr>
            <w:tcW w:w="137" w:type="dxa"/>
            <w:tcBorders/>
            <w:shd w:fill="CCEEFF" w:val="clear"/>
            <w:vAlign w:val="center"/>
          </w:tcPr>
          <w:p>
            <w:pPr>
              <w:pStyle w:val="TableContents"/>
              <w:bidi w:val="0"/>
              <w:spacing w:before="0" w:after="283"/>
              <w:jc w:val="left"/>
              <w:rPr/>
            </w:pPr>
            <w:r>
              <w:rPr/>
              <w:t> </w:t>
            </w:r>
          </w:p>
        </w:tc>
      </w:tr>
      <w:tr>
        <w:trPr/>
        <w:tc>
          <w:tcPr>
            <w:tcW w:w="7288"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jc w:val="right"/>
              <w:rPr/>
            </w:pPr>
            <w:r>
              <w:rPr/>
              <w:t>250,274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282,973</w:t>
            </w:r>
          </w:p>
        </w:tc>
        <w:tc>
          <w:tcPr>
            <w:tcW w:w="13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maturities of notes payable as of June 30, 2026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w:t>
      </w:r>
    </w:p>
    <w:tbl>
      <w:tblPr>
        <w:tblW w:w="1785" w:type="dxa"/>
        <w:jc w:val="left"/>
        <w:tblInd w:w="0" w:type="dxa"/>
        <w:tblLayout w:type="fixed"/>
        <w:tblCellMar>
          <w:top w:w="0" w:type="dxa"/>
          <w:left w:w="0" w:type="dxa"/>
          <w:bottom w:w="0" w:type="dxa"/>
          <w:right w:w="0" w:type="dxa"/>
        </w:tblCellMar>
      </w:tblPr>
      <w:tblGrid>
        <w:gridCol w:w="560"/>
        <w:gridCol w:w="90"/>
        <w:gridCol w:w="170"/>
        <w:gridCol w:w="830"/>
        <w:gridCol w:w="135"/>
      </w:tblGrid>
      <w:tr>
        <w:trPr/>
        <w:tc>
          <w:tcPr>
            <w:tcW w:w="560" w:type="dxa"/>
            <w:tcBorders/>
            <w:shd w:fill="CCEEFF" w:val="clear"/>
            <w:vAlign w:val="center"/>
          </w:tcPr>
          <w:p>
            <w:pPr>
              <w:pStyle w:val="TableContents"/>
              <w:bidi w:val="0"/>
              <w:spacing w:before="0" w:after="283"/>
              <w:jc w:val="both"/>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33,507</w:t>
            </w:r>
          </w:p>
        </w:tc>
        <w:tc>
          <w:tcPr>
            <w:tcW w:w="135" w:type="dxa"/>
            <w:tcBorders/>
            <w:shd w:fill="CCEE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both"/>
              <w:rPr/>
            </w:pPr>
            <w:r>
              <w:rPr/>
              <w:t>2027</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70,099</w:t>
            </w:r>
          </w:p>
        </w:tc>
        <w:tc>
          <w:tcPr>
            <w:tcW w:w="135" w:type="dxa"/>
            <w:tcBorders/>
            <w:shd w:fill="FFFFFF" w:val="clear"/>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74,422</w:t>
            </w:r>
          </w:p>
        </w:tc>
        <w:tc>
          <w:tcPr>
            <w:tcW w:w="135" w:type="dxa"/>
            <w:tcBorders/>
            <w:shd w:fill="CCEE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both"/>
              <w:rPr/>
            </w:pPr>
            <w:r>
              <w:rPr/>
              <w:t>2029</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72,246</w:t>
            </w:r>
          </w:p>
        </w:tc>
        <w:tc>
          <w:tcPr>
            <w:tcW w:w="135" w:type="dxa"/>
            <w:tcBorders/>
            <w:shd w:fill="FFFFFF" w:val="clear"/>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250,274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number of shares of common stock issued and total number of shares of common stock outstanding was 57,493,776 and 54,649,479, respectively. As of December 31, 2025, total number of shares of common stock issued and total number of shares of common stock outstanding was 57,493,776 and 54,649,479, respectively. At June 30, 2026 and December 31, 2025, a total of 2,844,297 shares of common stock were deemed issued but not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did not issue 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common stock activity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Company issued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the Company issued 273,026 shares of common stock to its CEO pursuant to an executive compensation plan.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issued 92,168 shares of common stock to its CFO pursuant to an executive compensation plan.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Stock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Predecessor CEO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plan with Mr. Bennett (the “Predecessor CEO Stock Plan”) had a fair value of $660,541 at inception (see “Stock Plan Valuation” section below). This amount is being amortized over the 34-month life of the plan. During the years ended December 31, 2025 and 2024, $232,361 and $233,132 of this amount was charged to operations,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price targets of $1.80 and $2.00 were achieved, and Mr. Bennett became eligible to receive an additional total of 487,566 shares. A total of 1,018,231 shares were issued to Mr. Bennett, net of 444,468 shares withheld for taxes; at December 31, 2025, there are no further shares due to Mr. Bennett pursuant to the Predecessor CEO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2025, the Company entered into a separation agreement and general release with Mr. Bennett, pursuant to which Mr. Bennett resigned from his position as the CEO of the Company effective October 1, 2025. During the year ended December 31, 2025, the Company charged the unamortized portion of the value of the Predecessor CEO Stock Plan in the amount of $115,795 to compensation expense and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shares unvested under the Predecessor CEO Stock Plan at June 30, 2026 or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pStyle w:val="TextBody"/>
        <w:bidi w:val="0"/>
        <w:spacing w:before="0" w:after="0"/>
        <w:ind w:left="0" w:right="0" w:hanging="0"/>
        <w:jc w:val="both"/>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13"/>
        <w:gridCol w:w="542"/>
        <w:gridCol w:w="90"/>
        <w:gridCol w:w="90"/>
        <w:gridCol w:w="433"/>
        <w:gridCol w:w="2271"/>
        <w:gridCol w:w="543"/>
        <w:gridCol w:w="199"/>
        <w:gridCol w:w="199"/>
        <w:gridCol w:w="1840"/>
        <w:gridCol w:w="135"/>
      </w:tblGrid>
      <w:tr>
        <w:trPr/>
        <w:tc>
          <w:tcPr>
            <w:tcW w:w="75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Granted - Lower of:</w:t>
            </w:r>
          </w:p>
        </w:tc>
        <w:tc>
          <w:tcPr>
            <w:tcW w:w="13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center"/>
              <w:rPr>
                <w:b/>
              </w:rPr>
            </w:pPr>
            <w:r>
              <w:rPr>
                <w:b/>
              </w:rPr>
              <w:t>Number of Shares Issued</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vAlign w:val="center"/>
          </w:tcPr>
          <w:p>
            <w:pPr>
              <w:pStyle w:val="TableContents"/>
              <w:bidi w:val="0"/>
              <w:spacing w:before="0" w:after="283"/>
              <w:jc w:val="center"/>
              <w:rPr>
                <w:b/>
              </w:rPr>
            </w:pPr>
            <w:r>
              <w:rPr>
                <w:b/>
              </w:rPr>
              <w:t>Maximum</w:t>
            </w:r>
          </w:p>
        </w:tc>
        <w:tc>
          <w:tcPr>
            <w:tcW w:w="13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center"/>
              <w:rPr>
                <w:b/>
              </w:rPr>
            </w:pPr>
            <w:r>
              <w:rPr>
                <w:b/>
              </w:rPr>
              <w:t>and Outstanding on</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vAlign w:val="center"/>
          </w:tcPr>
          <w:p>
            <w:pPr>
              <w:pStyle w:val="TableContents"/>
              <w:bidi w:val="0"/>
              <w:spacing w:before="0" w:after="283"/>
              <w:jc w:val="center"/>
              <w:rPr>
                <w:b/>
              </w:rPr>
            </w:pPr>
            <w:r>
              <w:rPr>
                <w:b/>
              </w:rPr>
              <w:t>Number of</w:t>
            </w:r>
          </w:p>
        </w:tc>
        <w:tc>
          <w:tcPr>
            <w:tcW w:w="135" w:type="dxa"/>
            <w:tcBorders/>
            <w:vAlign w:val="center"/>
          </w:tcPr>
          <w:p>
            <w:pPr>
              <w:pStyle w:val="TableContents"/>
              <w:bidi w:val="0"/>
              <w:spacing w:before="0" w:after="283"/>
              <w:jc w:val="left"/>
              <w:rPr/>
            </w:pPr>
            <w:r>
              <w:rPr/>
              <w:t> </w:t>
            </w:r>
          </w:p>
        </w:tc>
      </w:tr>
      <w:tr>
        <w:trPr/>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 Multiplied by:</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35" w:type="dxa"/>
            <w:tcBorders/>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0.87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0.40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196,627</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1.16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0.30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147,470</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1.45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0.20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98,313</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1.74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0.15</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73,735</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0.15</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73,735</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2.32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49,157</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0.10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49,157</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2.90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49,157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 Stock Plan had a fair value of $199,951 at inception (see “Valuation of Executive Stock Plans” section below). This amount is being amortized over the 31.5-month life of the plan. During 2026, no expense was incurred as the shares were forfeited as of December 31, 2025. During the three and six months ended June 30, 2025, $19,043 and $38,086 was charged to operations,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price target of $1.74 per share under the COO Stock Plan was achieved and 73,735 shares of common stock vested; and on March 7, 2025, the price target of $2.03 per share under the COO Stock Plan was achieved, and 73,735 shares of common stock vested. The total number of shares vested for achievement of the $1.74, and $2.03 price targets was 147,470. These shares were issued during the year ended December 31, 2025. On December 31, 2025, a total of 147,471 unvested shares were forfeited under the COO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CEO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an employment agreement with Gary Schubert pursuant to which he will serve as the Company’s Chief Executive Officer (the “CEO Employment Agreement”). The CEO Employment Agreement provides for the grant of 1,350,000 shares of the Company’s common stock, subject to a vesting schedule, no later than March 31, 2026 (the “Successor CEO Stock Plan”). As of June 30, 2026, such shares had not yet been granted. The Company and Mr. Schubert are working collaboratively and in good faith to finalize the applicable vesting schedule, performance criteria and related grant documentation, with the objective of completing the grant process by September 30, 2026. The parties have not entered into an amendment to the CEO Employment Agreement, and no waiver of any rights or obligations thereunder has been made. As of the date of this filing, there are no disputes between the Company and Mr. Schubert regarding the Successor CEO Stock Grant, and Mr. Schubert has not delivered any notice of resignation for Good Reason under the CEO Employment Agreement. In the event Mr. Schubert were to deliver such a notice, the CEO Employment Agreement provides the Company with a 60-calendar-day period to cure the circumstances giving rise to such notice, as provided therein. The CEO Employment Agreement and Successor CEO Stock Plan replaced Mr. Schubert’s executive compensation plan that was in place during his role as the Company’s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Prior CFO Stock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entered into an employment agreement with Gary Schubert to become the Company’s Chief Financial Officer effective January 1, 2024. Pursuant to this agreement, Mr. Schubert was provided with an incentive compensation plan (the “Prior CFO Stock Plan”) whereby Mr. Schubert would be granted shares of the Company’s common stock upon the common stock meeting certain price points at various 60-day volume weighted prices, as described below:</w:t>
      </w:r>
    </w:p>
    <w:p>
      <w:pPr>
        <w:pStyle w:val="TextBody"/>
        <w:bidi w:val="0"/>
        <w:spacing w:before="0" w:after="0"/>
        <w:ind w:left="0" w:right="0" w:hanging="0"/>
        <w:jc w:val="both"/>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13"/>
        <w:gridCol w:w="542"/>
        <w:gridCol w:w="90"/>
        <w:gridCol w:w="90"/>
        <w:gridCol w:w="433"/>
        <w:gridCol w:w="2271"/>
        <w:gridCol w:w="543"/>
        <w:gridCol w:w="199"/>
        <w:gridCol w:w="199"/>
        <w:gridCol w:w="1840"/>
        <w:gridCol w:w="135"/>
      </w:tblGrid>
      <w:tr>
        <w:trPr/>
        <w:tc>
          <w:tcPr>
            <w:tcW w:w="75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Granted - Lower of:</w:t>
            </w:r>
          </w:p>
        </w:tc>
        <w:tc>
          <w:tcPr>
            <w:tcW w:w="13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center"/>
              <w:rPr>
                <w:b/>
              </w:rPr>
            </w:pPr>
            <w:r>
              <w:rPr>
                <w:b/>
              </w:rPr>
              <w:t>Number of Shares Issued</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vAlign w:val="center"/>
          </w:tcPr>
          <w:p>
            <w:pPr>
              <w:pStyle w:val="TableContents"/>
              <w:bidi w:val="0"/>
              <w:spacing w:before="0" w:after="283"/>
              <w:jc w:val="center"/>
              <w:rPr>
                <w:b/>
              </w:rPr>
            </w:pPr>
            <w:r>
              <w:rPr>
                <w:b/>
              </w:rPr>
              <w:t>Maximum</w:t>
            </w:r>
          </w:p>
        </w:tc>
        <w:tc>
          <w:tcPr>
            <w:tcW w:w="13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center"/>
              <w:rPr>
                <w:b/>
              </w:rPr>
            </w:pPr>
            <w:r>
              <w:rPr>
                <w:b/>
              </w:rPr>
              <w:t>and Outstanding on</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vAlign w:val="center"/>
          </w:tcPr>
          <w:p>
            <w:pPr>
              <w:pStyle w:val="TableContents"/>
              <w:bidi w:val="0"/>
              <w:spacing w:before="0" w:after="283"/>
              <w:jc w:val="center"/>
              <w:rPr>
                <w:b/>
              </w:rPr>
            </w:pPr>
            <w:r>
              <w:rPr>
                <w:b/>
              </w:rPr>
              <w:t>Number of</w:t>
            </w:r>
          </w:p>
        </w:tc>
        <w:tc>
          <w:tcPr>
            <w:tcW w:w="135" w:type="dxa"/>
            <w:tcBorders/>
            <w:vAlign w:val="center"/>
          </w:tcPr>
          <w:p>
            <w:pPr>
              <w:pStyle w:val="TableContents"/>
              <w:bidi w:val="0"/>
              <w:spacing w:before="0" w:after="283"/>
              <w:jc w:val="left"/>
              <w:rPr/>
            </w:pPr>
            <w:r>
              <w:rPr/>
              <w:t> </w:t>
            </w:r>
          </w:p>
        </w:tc>
      </w:tr>
      <w:tr>
        <w:trPr/>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 Multiplied by:</w:t>
            </w:r>
          </w:p>
        </w:tc>
        <w:tc>
          <w:tcPr>
            <w:tcW w:w="543"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35" w:type="dxa"/>
            <w:tcBorders/>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0.40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131,085</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1.63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0.30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98,313</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0.20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65,542</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2.45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0.15</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49,157</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0.15</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49,157</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3.27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32,771</w:t>
            </w:r>
          </w:p>
        </w:tc>
        <w:tc>
          <w:tcPr>
            <w:tcW w:w="135" w:type="dxa"/>
            <w:tcBorders/>
            <w:shd w:fill="FFFFFF" w:val="clear"/>
            <w:vAlign w:val="center"/>
          </w:tcPr>
          <w:p>
            <w:pPr>
              <w:pStyle w:val="TableContents"/>
              <w:bidi w:val="0"/>
              <w:spacing w:before="0" w:after="283"/>
              <w:jc w:val="left"/>
              <w:rPr/>
            </w:pPr>
            <w:r>
              <w:rPr/>
              <w:t> </w:t>
            </w:r>
          </w:p>
        </w:tc>
      </w:tr>
      <w:tr>
        <w:trPr/>
        <w:tc>
          <w:tcPr>
            <w:tcW w:w="213" w:type="dxa"/>
            <w:tcBorders/>
            <w:shd w:fill="CCEEFF" w:val="clear"/>
            <w:vAlign w:val="center"/>
          </w:tcPr>
          <w:p>
            <w:pPr>
              <w:pStyle w:val="TableContents"/>
              <w:bidi w:val="0"/>
              <w:spacing w:before="0" w:after="283"/>
              <w:jc w:val="left"/>
              <w:rPr/>
            </w:pPr>
            <w:r>
              <w:rPr/>
              <w:t>$</w:t>
            </w:r>
          </w:p>
        </w:tc>
        <w:tc>
          <w:tcPr>
            <w:tcW w:w="542" w:type="dxa"/>
            <w:tcBorders/>
            <w:shd w:fill="CCEEFF" w:val="clear"/>
            <w:vAlign w:val="center"/>
          </w:tcPr>
          <w:p>
            <w:pPr>
              <w:pStyle w:val="TableContents"/>
              <w:bidi w:val="0"/>
              <w:spacing w:before="0" w:after="283"/>
              <w:jc w:val="right"/>
              <w:rPr/>
            </w:pPr>
            <w:r>
              <w:rPr/>
              <w:t>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2271" w:type="dxa"/>
            <w:tcBorders/>
            <w:shd w:fill="CCEEFF" w:val="clear"/>
            <w:vAlign w:val="center"/>
          </w:tcPr>
          <w:p>
            <w:pPr>
              <w:pStyle w:val="TableContents"/>
              <w:bidi w:val="0"/>
              <w:spacing w:before="0" w:after="283"/>
              <w:jc w:val="right"/>
              <w:rPr/>
            </w:pPr>
            <w:r>
              <w:rPr/>
              <w:t>0.10</w:t>
            </w:r>
          </w:p>
        </w:tc>
        <w:tc>
          <w:tcPr>
            <w:tcW w:w="543"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840" w:type="dxa"/>
            <w:tcBorders/>
            <w:shd w:fill="CCEEFF" w:val="clear"/>
            <w:vAlign w:val="center"/>
          </w:tcPr>
          <w:p>
            <w:pPr>
              <w:pStyle w:val="TableContents"/>
              <w:bidi w:val="0"/>
              <w:spacing w:before="0" w:after="283"/>
              <w:jc w:val="right"/>
              <w:rPr/>
            </w:pPr>
            <w:r>
              <w:rPr/>
              <w:t>32,771</w:t>
            </w:r>
          </w:p>
        </w:tc>
        <w:tc>
          <w:tcPr>
            <w:tcW w:w="135" w:type="dxa"/>
            <w:tcBorders/>
            <w:shd w:fill="CCEEFF" w:val="clear"/>
            <w:vAlign w:val="center"/>
          </w:tcPr>
          <w:p>
            <w:pPr>
              <w:pStyle w:val="TableContents"/>
              <w:bidi w:val="0"/>
              <w:spacing w:before="0" w:after="283"/>
              <w:jc w:val="left"/>
              <w:rPr/>
            </w:pPr>
            <w:r>
              <w:rPr/>
              <w:t> </w:t>
            </w:r>
          </w:p>
        </w:tc>
      </w:tr>
      <w:tr>
        <w:trPr/>
        <w:tc>
          <w:tcPr>
            <w:tcW w:w="213" w:type="dxa"/>
            <w:tcBorders/>
            <w:shd w:fill="FFFFFF" w:val="clear"/>
            <w:vAlign w:val="center"/>
          </w:tcPr>
          <w:p>
            <w:pPr>
              <w:pStyle w:val="TableContents"/>
              <w:bidi w:val="0"/>
              <w:spacing w:before="0" w:after="283"/>
              <w:jc w:val="left"/>
              <w:rPr/>
            </w:pPr>
            <w:r>
              <w:rPr/>
              <w:t>$</w:t>
            </w:r>
          </w:p>
        </w:tc>
        <w:tc>
          <w:tcPr>
            <w:tcW w:w="542" w:type="dxa"/>
            <w:tcBorders/>
            <w:shd w:fill="FFFFFF" w:val="clear"/>
            <w:vAlign w:val="center"/>
          </w:tcPr>
          <w:p>
            <w:pPr>
              <w:pStyle w:val="TableContents"/>
              <w:bidi w:val="0"/>
              <w:spacing w:before="0" w:after="283"/>
              <w:jc w:val="right"/>
              <w:rPr/>
            </w:pPr>
            <w:r>
              <w:rPr/>
              <w:t>4.08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2271" w:type="dxa"/>
            <w:tcBorders/>
            <w:shd w:fill="FFFFFF" w:val="clear"/>
            <w:vAlign w:val="center"/>
          </w:tcPr>
          <w:p>
            <w:pPr>
              <w:pStyle w:val="TableContents"/>
              <w:bidi w:val="0"/>
              <w:spacing w:before="0" w:after="283"/>
              <w:jc w:val="right"/>
              <w:rPr/>
            </w:pPr>
            <w:r>
              <w:rPr/>
              <w:t>0.10</w:t>
            </w:r>
          </w:p>
        </w:tc>
        <w:tc>
          <w:tcPr>
            <w:tcW w:w="543" w:type="dxa"/>
            <w:tcBorders/>
            <w:shd w:fill="FFFFFF" w:val="clear"/>
            <w:vAlign w:val="center"/>
          </w:tcPr>
          <w:p>
            <w:pPr>
              <w:pStyle w:val="TableContents"/>
              <w:bidi w:val="0"/>
              <w:spacing w:before="0" w:after="283"/>
              <w:jc w:val="left"/>
              <w:rPr/>
            </w:pPr>
            <w:r>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pPr>
            <w:r>
              <w:rPr/>
              <w:t>32,771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CFO Stock Plan had a fair value of $238,747 at inception (see “Valuation of Executive Stock Plans” section below). This amount is being amortized over the 30-month life of the plan. During the three and six months ended June 30, 2026, the remaining unamortized amount of $23,874 and $47,748 was charged to operations, respectively. During the three and six months ended June 30, 2025, $23,874 and $47,750 of this amount was charged to operations,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price target of $2.04 per share under the Prior CFO Stock Plan was achieved and 65,542 shares of common stock vested. These shares were issued during the year ended December 31, 2025. On October 3, 2025, a total of 196,627 unvested shares were forfeited under the Prior CFO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Valuation of Executive 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relied upon the guidance of Statement of Financial Account Standards No. 718 Compensation – Stock Compensation (“ASC 718”) in accounting for the Predecessor CEO Stock Plan, the COO Stock Plan, and the Prior CFO Stock Plan (collectively, the Executive Stock Plans). A Monte Carlo market-based performance stock awards model was used in valuing the Executive Stock Plans,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stock price for each trading day would fluctuate with an estimated projected volatility using a normal distribution. The stock price of the underlying instrument is modeled such that it follows a geometric Brownian motion with constant drift and volatility.</w:t>
            </w:r>
          </w:p>
        </w:tc>
      </w:tr>
    </w:tbl>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would award the stock upon triggering the thresholds.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attrition or forfeiture rates (i.e., pre–vesting forfeiture assumption) are assumed to be zero given the holder’s position with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projected capital events were included in the adjustments to the shares issued and outstanding in the projected simulations.</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05"/>
        <w:gridCol w:w="200"/>
        <w:gridCol w:w="4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Awards/payouts were discounted at the risk–free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there was no stock options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stock option activity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there were no options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the CEO, Gary Schubert, and he has determined that the Company operates in one reportable segment: the delivery of specialty foods. This determination was made based upon the characteristics of the Company’s business and the information used by the CODM in order monitor the business and allocate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consolidated revenue, gross margin percentage and net income to monitor results. The CODM also uses revenue by category to monitor the growth of the business in each of the Company’s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segment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2"/>
        <w:gridCol w:w="90"/>
        <w:gridCol w:w="179"/>
        <w:gridCol w:w="1191"/>
        <w:gridCol w:w="94"/>
        <w:gridCol w:w="94"/>
        <w:gridCol w:w="94"/>
        <w:gridCol w:w="622"/>
        <w:gridCol w:w="245"/>
        <w:gridCol w:w="90"/>
        <w:gridCol w:w="178"/>
        <w:gridCol w:w="1187"/>
        <w:gridCol w:w="131"/>
        <w:gridCol w:w="94"/>
        <w:gridCol w:w="94"/>
        <w:gridCol w:w="620"/>
        <w:gridCol w:w="245"/>
        <w:gridCol w:w="90"/>
        <w:gridCol w:w="170"/>
        <w:gridCol w:w="1085"/>
        <w:gridCol w:w="125"/>
        <w:gridCol w:w="90"/>
        <w:gridCol w:w="136"/>
        <w:gridCol w:w="1009"/>
        <w:gridCol w:w="170"/>
      </w:tblGrid>
      <w:tr>
        <w:trPr/>
        <w:tc>
          <w:tcPr>
            <w:tcW w:w="20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70"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5"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1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Digital Channels</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13,695,210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54.3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16,213,095</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51.2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(2,517,885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-15.5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National distribution</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5,258,919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20.8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6,784,281</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21.4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(1,525,362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-22.5</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Local distribution</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6,279,566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pPr>
            <w:r>
              <w:rPr/>
              <w:t>24.9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8,666,329</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(2,386,763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-27.5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Total revenue</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25,233,695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100.0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31,663,705</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100.0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(6,430,010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-20.3</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Cost of sales</w:t>
            </w:r>
          </w:p>
        </w:tc>
        <w:tc>
          <w:tcPr>
            <w:tcW w:w="9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18,692,604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pPr>
            <w:r>
              <w:rPr/>
              <w:t>74.1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23,464,629</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pPr>
            <w:r>
              <w:rPr/>
              <w:t>74.1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(4,772,025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6,541,091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25.9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8,199,076</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25.9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(1,657,985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Cash OpEx:</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Payroll &amp; related costs</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3,651,958</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14.5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4,816,333</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15.2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(1,164,375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-24.2</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Computer and IT</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307,254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204,377</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102,877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50.3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Office, facility, vehicles</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504,369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2.0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650,361</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2.1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(145,992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-22.4</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325,008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1.3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267,240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57,768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21.6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Travel &amp; entertainment</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37,426</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49,595</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0.2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(12,169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-24.5</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Advertising &amp; marketing</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2,301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6,025</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(3,724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-61.8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Banking and credit card processing</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9,912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23,735</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(13,823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-58.2</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Professional fees</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703,597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826,502</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(122,905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-14.9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5,541,825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22.0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6,844,168</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21.6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(1,302,343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-19.0</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Non-cash OpEx:</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Credit loss expense</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15,530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9,489</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6,041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63.7</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Share based compensation</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31,605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(24,861</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56,466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-227.1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Depreciation &amp; amortization</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141,902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0.6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139,660</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0.4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2,242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1.6</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Taxes &amp; fees</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64,523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143,594</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(79,071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-55.1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253,560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267,882</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pPr>
            <w:r>
              <w:rPr/>
              <w:t>0.8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(14,322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Non-Operating (Income) Expense:</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7,932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7,651</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2082" w:type="dxa"/>
            <w:tcBorders/>
            <w:shd w:fill="CCEEFF" w:val="clear"/>
            <w:vAlign w:val="center"/>
          </w:tcPr>
          <w:p>
            <w:pPr>
              <w:pStyle w:val="TableContents"/>
              <w:bidi w:val="0"/>
              <w:spacing w:before="0" w:after="283"/>
              <w:jc w:val="left"/>
              <w:rPr/>
            </w:pPr>
            <w:r>
              <w:rPr/>
              <w:t>Total other (income) expense</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7,932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7,651</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28,391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N/A</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Net income (loss) from continuing operations</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709,383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2.8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pPr>
            <w:r>
              <w:rPr/>
              <w:t>1,079,375</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(369,992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-34.3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Other segment disclosures:</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082" w:type="dxa"/>
            <w:tcBorders/>
            <w:shd w:fill="FFFFFF" w:val="clear"/>
            <w:vAlign w:val="center"/>
          </w:tcPr>
          <w:p>
            <w:pPr>
              <w:pStyle w:val="TableContents"/>
              <w:bidi w:val="0"/>
              <w:spacing w:before="0" w:after="283"/>
              <w:jc w:val="left"/>
              <w:rPr/>
            </w:pPr>
            <w:r>
              <w:rPr/>
              <w:t>Segment assets</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12,254,829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17,307,322</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2082" w:type="dxa"/>
            <w:tcBorders/>
            <w:shd w:fill="CCEEFF" w:val="clear"/>
            <w:vAlign w:val="center"/>
          </w:tcPr>
          <w:p>
            <w:pPr>
              <w:pStyle w:val="TableContents"/>
              <w:bidi w:val="0"/>
              <w:spacing w:before="0" w:after="283"/>
              <w:jc w:val="left"/>
              <w:rPr/>
            </w:pPr>
            <w:r>
              <w:rPr/>
              <w:t>Expenditures for segment assets</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31,183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208,886</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9"/>
        <w:gridCol w:w="90"/>
        <w:gridCol w:w="181"/>
        <w:gridCol w:w="1208"/>
        <w:gridCol w:w="96"/>
        <w:gridCol w:w="96"/>
        <w:gridCol w:w="96"/>
        <w:gridCol w:w="631"/>
        <w:gridCol w:w="245"/>
        <w:gridCol w:w="90"/>
        <w:gridCol w:w="181"/>
        <w:gridCol w:w="1204"/>
        <w:gridCol w:w="133"/>
        <w:gridCol w:w="95"/>
        <w:gridCol w:w="95"/>
        <w:gridCol w:w="629"/>
        <w:gridCol w:w="245"/>
        <w:gridCol w:w="90"/>
        <w:gridCol w:w="170"/>
        <w:gridCol w:w="1085"/>
        <w:gridCol w:w="125"/>
        <w:gridCol w:w="90"/>
        <w:gridCol w:w="128"/>
        <w:gridCol w:w="1017"/>
        <w:gridCol w:w="166"/>
      </w:tblGrid>
      <w:tr>
        <w:trPr/>
        <w:tc>
          <w:tcPr>
            <w:tcW w:w="20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June 30,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June 30, 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20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66" w:type="dxa"/>
            <w:tcBorders/>
            <w:vAlign w:val="center"/>
          </w:tcPr>
          <w:p>
            <w:pPr>
              <w:pStyle w:val="TableContents"/>
              <w:bidi w:val="0"/>
              <w:spacing w:before="0" w:after="283"/>
              <w:jc w:val="left"/>
              <w:rPr/>
            </w:pPr>
            <w:r>
              <w:rPr/>
              <w:t> </w:t>
            </w:r>
          </w:p>
        </w:tc>
      </w:tr>
      <w:tr>
        <w:trPr/>
        <w:tc>
          <w:tcPr>
            <w:tcW w:w="2019"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Digital Channels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7,058,453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54.1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8,478,401</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(1,419,948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-16.7</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National distribution</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2,780,031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21.3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3,926,578</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23.6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(1,146,547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-29.2</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Local distribution</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3,218,638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4,232,711</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25.4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(1,014,073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Total revenue</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13,057,122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100.1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16,637,690</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100.0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(3,580,568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-21.5</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Cost of sales</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9,638,652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12,358,878</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(2,720,226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-22.0</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3,418,470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26.2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4,278,812</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25.7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(860,342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-20.1</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Cash OpEx:</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Payroll &amp; related costs</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1,797,772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13.8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2,535,814</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15.3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(738,042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-29.1</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Computer and IT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164,433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102,608</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61,825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60.3</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Office, facility, vehicles</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284,733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2.2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343,923</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(59,190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-17.2</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142,204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1.1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154,162</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(11,958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-7.8</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Travel &amp; entertainment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15,156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29,590</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(14,434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-48.8</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Advertising &amp; marketing</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750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4,542</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(3,792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-83.5</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Banking and credit card processing</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5,688</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15,189</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(9,501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-62.6</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Professional fees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454,154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301,053</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153,101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50.9</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2,864,890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21.9</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3,486,881</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21.0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(621,991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-17.8</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Non-cash OpEx:</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Credit loss expense</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7,331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108</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7,223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6688.0</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Share based compensation</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23,141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(186,657</w:t>
            </w:r>
          </w:p>
        </w:tc>
        <w:tc>
          <w:tcPr>
            <w:tcW w:w="133"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209,798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-112.4</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Depreciation &amp; amortization</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81,572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0.5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67,911</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13,661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20.1</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Taxes &amp; fees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46,523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pPr>
            <w:r>
              <w:rPr/>
              <w:t>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84,000</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(37,477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-44.6</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158,567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(34,638</w:t>
            </w:r>
          </w:p>
        </w:tc>
        <w:tc>
          <w:tcPr>
            <w:tcW w:w="133"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193,205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-557.8</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Non-Operating (Income) Expense: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630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1,014</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(384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166" w:type="dxa"/>
            <w:tcBorders/>
            <w:shd w:fill="FFFFFF" w:val="clear"/>
            <w:vAlign w:val="center"/>
          </w:tcPr>
          <w:p>
            <w:pPr>
              <w:pStyle w:val="TableContents"/>
              <w:bidi w:val="0"/>
              <w:spacing w:before="0" w:after="283"/>
              <w:ind w:left="0" w:right="0" w:hanging="180"/>
              <w:jc w:val="left"/>
              <w:rPr/>
            </w:pPr>
            <w:r>
              <w:rPr/>
              <w:t>%</w:t>
            </w:r>
          </w:p>
        </w:tc>
      </w:tr>
      <w:tr>
        <w:trPr/>
        <w:tc>
          <w:tcPr>
            <w:tcW w:w="2019" w:type="dxa"/>
            <w:tcBorders/>
            <w:shd w:fill="CCEEFF" w:val="clear"/>
            <w:vAlign w:val="center"/>
          </w:tcPr>
          <w:p>
            <w:pPr>
              <w:pStyle w:val="TableContents"/>
              <w:bidi w:val="0"/>
              <w:spacing w:before="0" w:after="283"/>
              <w:jc w:val="left"/>
              <w:rPr/>
            </w:pPr>
            <w:r>
              <w:rPr/>
              <w:t>Total other (income) expense</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1,014</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(384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37.9</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28,391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N/A</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Net income (loss) from continuing operations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365,992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283"/>
              <w:jc w:val="right"/>
              <w:rPr/>
            </w:pPr>
            <w:r>
              <w:rPr/>
              <w:t>2.8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825,556</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(459,564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-55.7</w:t>
            </w:r>
          </w:p>
        </w:tc>
        <w:tc>
          <w:tcPr>
            <w:tcW w:w="166" w:type="dxa"/>
            <w:tcBorders/>
            <w:shd w:fill="CCEEFF" w:val="clear"/>
            <w:vAlign w:val="center"/>
          </w:tcPr>
          <w:p>
            <w:pPr>
              <w:pStyle w:val="TableContents"/>
              <w:bidi w:val="0"/>
              <w:spacing w:before="0" w:after="283"/>
              <w:ind w:left="0" w:right="0" w:hanging="180"/>
              <w:jc w:val="left"/>
              <w:rPr/>
            </w:pPr>
            <w:r>
              <w:rPr/>
              <w:t>%</w:t>
            </w:r>
          </w:p>
        </w:tc>
      </w:tr>
      <w:tr>
        <w:trPr/>
        <w:tc>
          <w:tcPr>
            <w:tcW w:w="20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Other segment disclosures: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180"/>
              <w:jc w:val="left"/>
              <w:rPr/>
            </w:pPr>
            <w:r>
              <w:rPr/>
              <w:t> </w:t>
            </w:r>
          </w:p>
        </w:tc>
      </w:tr>
      <w:tr>
        <w:trPr/>
        <w:tc>
          <w:tcPr>
            <w:tcW w:w="2019" w:type="dxa"/>
            <w:tcBorders/>
            <w:shd w:fill="FFFFFF" w:val="clear"/>
            <w:vAlign w:val="center"/>
          </w:tcPr>
          <w:p>
            <w:pPr>
              <w:pStyle w:val="TableContents"/>
              <w:bidi w:val="0"/>
              <w:spacing w:before="0" w:after="283"/>
              <w:jc w:val="left"/>
              <w:rPr/>
            </w:pPr>
            <w:r>
              <w:rPr/>
              <w:t>Segment assets</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12,254,829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17,307,322</w:t>
            </w:r>
          </w:p>
        </w:tc>
        <w:tc>
          <w:tcPr>
            <w:tcW w:w="1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ind w:left="0" w:right="0" w:hanging="180"/>
              <w:jc w:val="left"/>
              <w:rPr/>
            </w:pPr>
            <w:r>
              <w:rPr/>
              <w:t> </w:t>
            </w:r>
          </w:p>
        </w:tc>
      </w:tr>
      <w:tr>
        <w:trPr/>
        <w:tc>
          <w:tcPr>
            <w:tcW w:w="2019" w:type="dxa"/>
            <w:tcBorders/>
            <w:shd w:fill="CCEEFF" w:val="clear"/>
            <w:vAlign w:val="center"/>
          </w:tcPr>
          <w:p>
            <w:pPr>
              <w:pStyle w:val="TableContents"/>
              <w:bidi w:val="0"/>
              <w:spacing w:before="0" w:after="283"/>
              <w:jc w:val="left"/>
              <w:rPr/>
            </w:pPr>
            <w:r>
              <w:rPr/>
              <w:t>Expenditures for segment assets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45,520</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Prior Executive Officers under Separation Agreements were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the three months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make any payments to Mr. Klepfish, its prior CEO, in connection with the SK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$8,333 for salary and consulting fees and $5,731 for insurance to Mr. Bennett, its prior CEO, in connection with the Bennet Separation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the six months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cash in the amount of $58,860 to Mr. Klepfish, its prior CEO, in connection with the SK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$30,331 for salary and consulting fees and $17,193 for insurance to Mr. Bennett, its prior CEO, in connection with the Bennet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the three months ended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cash in the amount of $83,333 to Mr. Klepfish, its prior CEO, in connection with the SK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the six months ended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cash in the amount of $166,666 to Mr. Klepfish, its prior CEO, in connection with the SK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U.S. Foods, Inc. and its affiliates accounted for approximately 40% and 34% of total consolidated sales, respectively. Gate Gourmet accounted for approximately 18 % and 15% of total consolidated sales during the three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U.S. Foods, Inc. and its affiliates accounted for approximately 40% and 34% of total consolidated sales, respectively. Gate Gourmet accounted for approximately 17 % and 14% of total consolidated sales during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Sams Club accounted for approximately 0% and 19% of total consolidated sales during the three months ended June 30, 2026 and 2025, respectively. Sales to Sams Club related entirely to the discontinued Pennsylvania distribution operations and are not expected to continue in future periods. Sams Club accounted for approximately 0% and 19% of total consolidated sales during the six months ended June 30, 2026 and 2025, respectively. Sales to Sams Club related entirely to the discontinued Pennsylvania distribution operations and are not expected to continue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the Company’s financial position or its business and the outcome of these matters cannot be ultimately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 w:name="a_007"/>
      <w:bookmarkEnd w:id="10"/>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report to “we,” “our,” “us,” or the “Company” refer to Innovative Food Holdings, Inc. and all of its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the consolidated financial statements and the related notes thereto, as well as all other related notes, and financial and operational references, appearing elsewhere in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capital necessary to sustain our anticipated operations and implement our business plan,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implement our business plan, including sale and acquisition of certain operations,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on future revenue and operations resulting from changes to our business plan, including our decision to exit certain business lines such as cheese and logistics,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generate sufficient cash to pay our lenders and other creditors,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two major customers,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employ and retain qualified management and employees,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the efforts and abilities of our current employees and executive officers,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government regulations that are applicable to our current or anticipated business,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demand for our services and different food trends,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tariffs or other trade restrictions that may increase costs or disrupt our supply chain,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degree and nature of our competition,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lack of diversification of our business plan,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general volatility of the capital markets and the establishment of a market for our shares,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Policy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 in the Preparation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inventory, valuation of stock-based services, operating right of use assets and liabilities, impairment of intangible assets,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 and Stock Appreciation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SARS, and valuation assumptions:</w:t>
      </w:r>
    </w:p>
    <w:p>
      <w:pPr>
        <w:pStyle w:val="TextBody"/>
        <w:bidi w:val="0"/>
        <w:spacing w:before="0" w:after="0"/>
        <w:ind w:left="0" w:right="0" w:hanging="0"/>
        <w:jc w:val="both"/>
        <w:rPr>
          <w:caps w:val="false"/>
          <w:smallCaps w:val="false"/>
        </w:rPr>
      </w:pPr>
      <w:r>
        <w:rPr>
          <w:caps w:val="false"/>
          <w:smallCaps w:val="false"/>
        </w:rPr>
        <w:t> </w:t>
      </w:r>
    </w:p>
    <w:tbl>
      <w:tblPr>
        <w:tblW w:w="5334" w:type="dxa"/>
        <w:jc w:val="left"/>
        <w:tblInd w:w="0" w:type="dxa"/>
        <w:tblLayout w:type="fixed"/>
        <w:tblCellMar>
          <w:top w:w="0" w:type="dxa"/>
          <w:left w:w="0" w:type="dxa"/>
          <w:bottom w:w="0" w:type="dxa"/>
          <w:right w:w="0" w:type="dxa"/>
        </w:tblCellMar>
      </w:tblPr>
      <w:tblGrid>
        <w:gridCol w:w="1865"/>
        <w:gridCol w:w="90"/>
        <w:gridCol w:w="234"/>
        <w:gridCol w:w="1345"/>
        <w:gridCol w:w="215"/>
        <w:gridCol w:w="90"/>
        <w:gridCol w:w="90"/>
        <w:gridCol w:w="1145"/>
        <w:gridCol w:w="260"/>
      </w:tblGrid>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w:t>
            </w:r>
          </w:p>
        </w:tc>
        <w:tc>
          <w:tcPr>
            <w:tcW w:w="2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2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77.84-205.63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9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3.48-4.10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(in years)</w:t>
            </w:r>
          </w:p>
        </w:tc>
        <w:tc>
          <w:tcPr>
            <w:tcW w:w="9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1.00-2.00</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 SARs were executed and all SARs were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Allowance for Credit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maintained an allowance in the amount of $259,446 and $218,319 for credit losses at June 30, 2026 and December 31, 2025,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 right-of-use assets (“ROU assets”) and short-term and long-term lease liabilities are included on the face of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team is adept at evaluating and certifying the food safety and supply chain capabilities of small batch producers who do not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this unique, premium assortment to serve the needs of Professional Chefs in settings such as restaurants, hotels, country clubs, national chain accounts, casinos, hospitals and catering houses. We provide these premium customers with products that cannot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foods to large retailers for resale on their shelves to the end customer. Between this variety of sales channels, we are able to serve our Professional Chef customers wherever they are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airline catering distribution business out of our owned 28,000 square foot facility in the greater Chicago area. Additionally, we operate a warehouse in Denver, Colorado, measuring approximately 20,000 square feet. In March 2026, we sold our facility in Mountain Top, Pennsylvania, which previously supported both our retail and airline catering operations. In connection with this sale, our airline catering operations have been relocated to the Chicago facility, and our retail business is being wound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have the capabilities to pack and ship frozen, refrigerated, and ambient products, enabling us to offer a broad range of specialty foods. We maintain GFSI/SQF certifications, ensuring compatibility with the highest global standards for food handling and meeting the quality and food safety expectations of our premium customers. These warehouses are equipped to ship packages and pallets of all sizes via overnight carriers. We also utilize our own fleet of trucks to deliver directly to Professional Chef customers within our delivery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involve risks and uncertainties. Our future results could differ materially from the forward-looking statements discussed in this report. This discussion should be read in conjunction with our consolidated financial statements, the notes thereto and other financial information included elsewhere in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the fiscal quarter ended June 30, 2026: we reported revenue of $13.1 million, a 21.5% decrease compared to $16.6 million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Breakdown: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Digital Channels: Largely comprised of our distributor relationships and supported by our drop-ship model generated $7.1 million, or 54% of total revenue, in the current period, compared to $8.5 million in the prior year period, a decrease of approximately 17%. This decrease was primarily driven by continued headwinds in our legacy drop-ship business, where increased competition in online marketplace channels has resulted in lower order volumes and pricing pressure.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Distribution: Revenue was $2.8 million, 21% of total revenue, compared to $4.0 million in the prior year period. The decrease was primarily driven by stiffer competition and airline menu cycle changes.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Local Distribution: Consists mainly of local sales team relationships and our local fleet delivering direct from warehouse. This category generated $3.2 million, or 25% of total revenue, which is a 24% decrease from $4.2 million in 2025. This decrease was primarily driven by customer attrition following prior year operational transitions; however, these strategic customer attrition efforts have stabilized.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three months ended June 30, 2026 decreased by approximately 22% to $9.6 million compared to $12.4 million in the prior year period, which is primarily due to a 21.5% decrease in revenue. Gross profit declined by 20.1% to $3.4 million, while gross margin increased to 26.2% from 25.7%.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decreased by $429 thousand, or 12.4%, primarily due to the factors described below: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costs decreased by $738 thousand to $1.8 million. This decrease was primarily due to a reduction in headcount from organizational restructuring, largely at the executive level.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Professional fees increased by $153 thousand to $454 thousand primarily due to consulting fees associated with our back-office transformation efforts.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increased by $210 thousand to $23 thousand, due to revaluation of stock options and other equity-based incentives offered to attract and retain key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Breakdown: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Digital Channels: Largely comprised of our distributor relationships and supported by our drop-ship model generated $13.7 million, or 54% of total revenue, in the current period, compared to $16.2 million in the prior year period, a decrease of approximately 15%. This decrease was primarily driven by continued headwinds in our legacy drop-ship business, where increased competition in online marketplace channels has resulted in lower order volumes and pricing pressure.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Distribution: Revenue was $5.3 million, 21% of total revenue, compared to $6.8 million in the prior year period. The decrease was primarily driven by stiffer competition and airline menu cycle changes.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Local Distribution: Consists mainly of local sales team relationships and our local fleet delivering direct from warehouse. This category generated $6.3 million, or 25% of total revenue, which is a 28% decrease from $8.7 million in 2025. This decrease was primarily driven by customer attrition following prior year operational transitions; however, these strategic customer attrition efforts have stabilized.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six months ended June 30, 2026 decreased by approximately 20% to $18.7 million compared to $23.5 million in the prior year period, which is primarily due to a 21% decrease in revenue. Gross margin remained flat at approximately 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decreased by $1.3 million, or 18.5%, primarily due to the factors described below: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costs decreased by $1.2 million to $3.7 million. This decrease was primarily due to a reduction in headcount from organizational restructuring, largely at the executive level.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Professional fees decreased by $123 thousand to $704 thousand primarily due to the discontinuation of strategic growth initiatives that did not yield desired results.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increased by $56 thousand to $32 thousand, due to revaluation of stock options and other equity-based incentives offered to attract and retain key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current assets of $10.1 million and current liabilities of $3.5 million. Net working capital was $6.6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sufficient liquidity to fund operations for at least the next twelve months. With the sale of the Pennsylvania facility, operating cash flows are expected to continue to improve as facility costs and lower margin product sales roll off. We do not anticipate the need to raise additional capital. We are exploring new credit facility options to provide working capital flexibility. Remaining severance obligations are not expected to be material, and staffing levels are being managed to align with current business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Analysis: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provided by operating activities was $375 thousand, primarily due to net income of $2.2 million, a decrease in inventory of $581 thousand primarily due to lowered cheese inventory balances associated with the wind down Pennsylvania of the facility, partially offset by the gain on disposition of assets of $2.7 million, a $609 thousand loss on the early extinguishment of debt, a decrease of $179 thousand primarily due to the collection of receivables related to discontinuing the cheese business, and a $700 thousand decrease in accounts payable and accrued liabilities primarily due to the sale of the Pennsylvania facility.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provided by investing activities was $8.8 million which was primarily due to cash received for the sale of the Pennsylvania land and building for $8.8 million, offset by the purchase of property and equipment for $31 thousand.</w:t>
            </w:r>
          </w:p>
        </w:tc>
      </w:tr>
    </w:tbl>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105"/>
        <w:gridCol w:w="200"/>
        <w:gridCol w:w="85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used in financing activities was $8.8 million, due to the payments on debt and financing 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U.S. Foods, Inc. and its affiliates accounted for approximately 40% and 34% of total revenue, respectively. Gate Gourmet accounted for approximately 18% and 15% of total revenue, respectively, during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U.S. Foods, Inc. and its affiliates accounted for approximately 40% and 34% of total revenue, respectively. Gate Gourmet accounted for approximately 17% and 14% of total revenue, respectively,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and success is subject to numerous risk factors as detailed in its Annual Report on Form 10-K for the year ended December 31, 2025 and its Current Reports on Form 8-K, all of which reports are available at no cost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such information is accumulated and communicated to our management, including our principal executive and financial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principal executive and financial officer, we conducted an evaluation of the effectiveness of our disclosure controls and procedures, as defined in Rules 13a-15(e) and 15d-15(e) under the Exchange Act, as of the end of the period covered by this report. Based on this evaluation, and because of the material weaknesses in internal control over financial reporting described below, management concluded that the Company’s disclosure controls and procedures were not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Material Weaknesses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management’s evaluation of internal control of financial reporting, management identified material weaknesses related to information technology general controls over certain applications that support the Company’s financial reporting processes. Specifically, management identified deficiencies associated with (a) effective user access controls to appropriately segregate duties and adequately restrict user and privileged access, (b) effective controls to monitor, document and approve application changes, and (c) effective controls related to monitoring of critical jobs. As a result of these deficiencies and certain account reconciliation and review controls that were not effectively designed in fully mitigating the related risks, automated process- level and manual controls within the financial reporting cycles that rely on information generated from such financially relevant systems were not considered effective.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weaknesses, management, including our principal executive, financial and accounting officer, concluded the consolidated financial statements included in this report fairly represent in all material respects our results of operations, financial condition, and cash flows at and for the periods presented in accordance with U.S. GAAP.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Part II, Item 9A of the Annual Report on Form 10-K for the year ended December 31, 2025, management concluded that the aforementioned material weaknesses in internal control existed for the Company. Management concluded that these material weaknesses still existed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Remediation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begun implementing measures designed to remediate the material weaknesses described above. These remediation efforts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Formalizing information technology governance procedures related to user access administration, periodic access reviews, and application change management for systems supporting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shd w:fill="FFFFFF" w:val="clear"/>
        <w:tblLayout w:type="fixed"/>
        <w:tblCellMar>
          <w:top w:w="0" w:type="dxa"/>
          <w:left w:w="0" w:type="dxa"/>
          <w:bottom w:w="0" w:type="dxa"/>
          <w:right w:w="0" w:type="dxa"/>
        </w:tblCellMar>
      </w:tblPr>
      <w:tblGrid>
        <w:gridCol w:w="105"/>
        <w:gridCol w:w="200"/>
        <w:gridCol w:w="776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77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Enhancing documentation, approval, testing, and tracking procedures for application changes;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user roles and access permissions within relevant applications and implementing additional role-based access governance procedures,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shd w:fill="FFFFFF" w:val="clear"/>
        <w:tblLayout w:type="fixed"/>
        <w:tblCellMar>
          <w:top w:w="0" w:type="dxa"/>
          <w:left w:w="0" w:type="dxa"/>
          <w:bottom w:w="0" w:type="dxa"/>
          <w:right w:w="0" w:type="dxa"/>
        </w:tblCellMar>
      </w:tblPr>
      <w:tblGrid>
        <w:gridCol w:w="105"/>
        <w:gridCol w:w="200"/>
        <w:gridCol w:w="977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Enhancing the documentation, retention, and review of system change logs and other relevant system activity logs;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Strengthening documentation of existing monitoring controls related to system interfaces, application functionality, and data validation processes.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continue to evaluate the design and operating effectiveness of these remediation efforts. The material weaknesses will not be considered remediated until the applicable controls have been fully implemented, tested, and determined to be operating effectively for a sufficient period of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discussed above, during the period covered by this report, there has been no change in our internal control over financial reporting that has materially affected, or is reasonably likely to materially affect, our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0"/>
      <w:bookmarkEnd w:id="13"/>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2"/>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report. However, for detailed descriptions of the risks relating to our Company, see the section titled “Risk Factors” contained in our Annual Report for the year ended December 31, 2025.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3"/>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4"/>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5"/>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6"/>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quarterly period ended June 30, 2026, none of our directors or officers (as defined in Rule 16a-1(f) promulgated under the Exchange Act) adopted or terminated any “Rule 10b5-1 trading arrangement” or any “non-Rule 10b5-1 trading arrangement,” as each term is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Annual Stockholders Meeting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held its 2026 Annual Meeting of Stockholders (the “Annual Meeting”). At the Annual Meeting, the Company’s stockholders voted on the following three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Pappas, Mark Schmulen, Denver J. Smith, Loukas D. Kozonis and Gary Schubert were each elected to serve on the Board for a one-year term that expires at the 2027 Annual Meeting of Stockholders, or until their earlier death, resignation or removal and their successors are elected and qualified. The final results of the voting were as follows:</w:t>
      </w:r>
    </w:p>
    <w:p>
      <w:pPr>
        <w:pStyle w:val="TextBody"/>
        <w:bidi w:val="0"/>
        <w:spacing w:before="0" w:after="0"/>
        <w:ind w:left="0" w:right="0" w:hanging="0"/>
        <w:jc w:val="both"/>
        <w:rPr>
          <w:caps w:val="false"/>
          <w:smallCaps w:val="false"/>
        </w:rPr>
      </w:pPr>
      <w:r>
        <w:rPr>
          <w:caps w:val="false"/>
          <w:smallCaps w:val="false"/>
        </w:rPr>
        <w:t> </w:t>
      </w:r>
    </w:p>
    <w:tbl>
      <w:tblPr>
        <w:tblW w:w="8543" w:type="dxa"/>
        <w:jc w:val="left"/>
        <w:tblInd w:w="0" w:type="dxa"/>
        <w:tblLayout w:type="fixed"/>
        <w:tblCellMar>
          <w:top w:w="0" w:type="dxa"/>
          <w:left w:w="0" w:type="dxa"/>
          <w:bottom w:w="28" w:type="dxa"/>
          <w:right w:w="0" w:type="dxa"/>
        </w:tblCellMar>
      </w:tblPr>
      <w:tblGrid>
        <w:gridCol w:w="1925"/>
        <w:gridCol w:w="90"/>
        <w:gridCol w:w="90"/>
        <w:gridCol w:w="1130"/>
        <w:gridCol w:w="90"/>
        <w:gridCol w:w="90"/>
        <w:gridCol w:w="142"/>
        <w:gridCol w:w="1317"/>
        <w:gridCol w:w="90"/>
        <w:gridCol w:w="90"/>
        <w:gridCol w:w="122"/>
        <w:gridCol w:w="1128"/>
        <w:gridCol w:w="90"/>
        <w:gridCol w:w="90"/>
        <w:gridCol w:w="142"/>
        <w:gridCol w:w="1782"/>
        <w:gridCol w:w="135"/>
      </w:tblGrid>
      <w:tr>
        <w:trPr/>
        <w:tc>
          <w:tcPr>
            <w:tcW w:w="1925" w:type="dxa"/>
            <w:tcBorders>
              <w:bottom w:val="single" w:sz="8" w:space="0" w:color="000000"/>
            </w:tcBorders>
            <w:vAlign w:val="center"/>
          </w:tcPr>
          <w:p>
            <w:pPr>
              <w:pStyle w:val="TableContents"/>
              <w:bidi w:val="0"/>
              <w:spacing w:before="0" w:after="283"/>
              <w:jc w:val="left"/>
              <w:rPr>
                <w:b/>
              </w:rPr>
            </w:pPr>
            <w:r>
              <w:rPr>
                <w:b/>
              </w:rPr>
              <w:t>Director Nominee</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Votes For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Votes Against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Abstentions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4" w:type="dxa"/>
            <w:gridSpan w:val="2"/>
            <w:tcBorders>
              <w:bottom w:val="single" w:sz="8" w:space="0" w:color="000000"/>
            </w:tcBorders>
            <w:vAlign w:val="center"/>
          </w:tcPr>
          <w:p>
            <w:pPr>
              <w:pStyle w:val="TableContents"/>
              <w:bidi w:val="0"/>
              <w:spacing w:before="0" w:after="283"/>
              <w:jc w:val="center"/>
              <w:rPr>
                <w:b/>
              </w:rPr>
            </w:pPr>
            <w:r>
              <w:rPr>
                <w:b/>
              </w:rPr>
              <w:t>Broker Non-Votes</w:t>
            </w:r>
          </w:p>
        </w:tc>
        <w:tc>
          <w:tcPr>
            <w:tcW w:w="13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James C. Pappas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32,141,895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833,394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right"/>
              <w:rPr/>
            </w:pPr>
            <w:r>
              <w:rPr/>
              <w:t>11,437,467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Mark Schmulen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32,185,359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789,250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20,680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right"/>
              <w:rPr/>
            </w:pPr>
            <w:r>
              <w:rPr/>
              <w:t>11,437,467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Denver J. Smith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32,029,206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833,394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132,689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right"/>
              <w:rPr/>
            </w:pPr>
            <w:r>
              <w:rPr/>
              <w:t>11,437,467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Loukas D. Kozonis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32,144,020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830,589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20,680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right"/>
              <w:rPr/>
            </w:pPr>
            <w:r>
              <w:rPr/>
              <w:t>11,437,467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Gary Schubert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32,189,443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785,846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right"/>
              <w:rPr/>
            </w:pPr>
            <w:r>
              <w:rPr/>
              <w:t>11,437,467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Brady Smallwood was not nominated to stand for reelection as a director of the Company at the Annual Meeting. Accordingly, Mr. Smallwood retired as a director of the Company effective 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Ratification of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ratified the previous appointment by the Board of CBIZ CPAs P.C. as the Company’s independent registered public accounting firm for the current fiscal year. The final results of the voting were as follows:</w:t>
      </w:r>
    </w:p>
    <w:p>
      <w:pPr>
        <w:pStyle w:val="TextBody"/>
        <w:bidi w:val="0"/>
        <w:spacing w:before="0" w:after="0"/>
        <w:ind w:left="0" w:right="0" w:hanging="0"/>
        <w:jc w:val="both"/>
        <w:rPr>
          <w:caps w:val="false"/>
          <w:smallCaps w:val="false"/>
        </w:rPr>
      </w:pPr>
      <w:r>
        <w:rPr>
          <w:caps w:val="false"/>
          <w:smallCaps w:val="false"/>
        </w:rPr>
        <w:t> </w:t>
      </w:r>
    </w:p>
    <w:tbl>
      <w:tblPr>
        <w:tblW w:w="5749" w:type="dxa"/>
        <w:jc w:val="left"/>
        <w:tblInd w:w="0" w:type="dxa"/>
        <w:tblLayout w:type="fixed"/>
        <w:tblCellMar>
          <w:top w:w="0" w:type="dxa"/>
          <w:left w:w="0" w:type="dxa"/>
          <w:bottom w:w="28" w:type="dxa"/>
          <w:right w:w="0" w:type="dxa"/>
        </w:tblCellMar>
      </w:tblPr>
      <w:tblGrid>
        <w:gridCol w:w="105"/>
        <w:gridCol w:w="1130"/>
        <w:gridCol w:w="90"/>
        <w:gridCol w:w="90"/>
        <w:gridCol w:w="142"/>
        <w:gridCol w:w="1317"/>
        <w:gridCol w:w="90"/>
        <w:gridCol w:w="90"/>
        <w:gridCol w:w="122"/>
        <w:gridCol w:w="1128"/>
        <w:gridCol w:w="90"/>
        <w:gridCol w:w="90"/>
        <w:gridCol w:w="473"/>
        <w:gridCol w:w="657"/>
        <w:gridCol w:w="135"/>
      </w:tblGrid>
      <w:tr>
        <w:trPr/>
        <w:tc>
          <w:tcPr>
            <w:tcW w:w="1235" w:type="dxa"/>
            <w:gridSpan w:val="2"/>
            <w:tcBorders>
              <w:bottom w:val="single" w:sz="8" w:space="0" w:color="000000"/>
            </w:tcBorders>
            <w:vAlign w:val="center"/>
          </w:tcPr>
          <w:p>
            <w:pPr>
              <w:pStyle w:val="TableContents"/>
              <w:bidi w:val="0"/>
              <w:spacing w:before="0" w:after="283"/>
              <w:jc w:val="center"/>
              <w:rPr>
                <w:b/>
              </w:rPr>
            </w:pPr>
            <w:r>
              <w:rPr>
                <w:b/>
              </w:rPr>
              <w:t>Votes For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Votes Against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Abstentions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Broker</w:t>
              <w:br/>
              <w:t>Non-Votes</w:t>
            </w:r>
          </w:p>
        </w:tc>
        <w:tc>
          <w:tcPr>
            <w:tcW w:w="135" w:type="dxa"/>
            <w:tcBorders/>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43,683,536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432,524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316,696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3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Say-on-Pay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compensation, by non-binding advisory vote, was approved. The final results of the voting were as follows:</w:t>
      </w:r>
    </w:p>
    <w:p>
      <w:pPr>
        <w:pStyle w:val="TextBody"/>
        <w:bidi w:val="0"/>
        <w:spacing w:before="0" w:after="0"/>
        <w:ind w:left="0" w:right="0" w:hanging="0"/>
        <w:jc w:val="left"/>
        <w:rPr>
          <w:caps w:val="false"/>
          <w:smallCaps w:val="false"/>
        </w:rPr>
      </w:pPr>
      <w:r>
        <w:rPr>
          <w:caps w:val="false"/>
          <w:smallCaps w:val="false"/>
        </w:rPr>
        <w:t> </w:t>
      </w:r>
    </w:p>
    <w:tbl>
      <w:tblPr>
        <w:tblW w:w="5839" w:type="dxa"/>
        <w:jc w:val="left"/>
        <w:tblInd w:w="0" w:type="dxa"/>
        <w:tblLayout w:type="fixed"/>
        <w:tblCellMar>
          <w:top w:w="0" w:type="dxa"/>
          <w:left w:w="0" w:type="dxa"/>
          <w:bottom w:w="28" w:type="dxa"/>
          <w:right w:w="0" w:type="dxa"/>
        </w:tblCellMar>
      </w:tblPr>
      <w:tblGrid>
        <w:gridCol w:w="105"/>
        <w:gridCol w:w="1130"/>
        <w:gridCol w:w="90"/>
        <w:gridCol w:w="90"/>
        <w:gridCol w:w="142"/>
        <w:gridCol w:w="1317"/>
        <w:gridCol w:w="90"/>
        <w:gridCol w:w="90"/>
        <w:gridCol w:w="140"/>
        <w:gridCol w:w="1110"/>
        <w:gridCol w:w="90"/>
        <w:gridCol w:w="90"/>
        <w:gridCol w:w="90"/>
        <w:gridCol w:w="1130"/>
        <w:gridCol w:w="135"/>
      </w:tblGrid>
      <w:tr>
        <w:trPr/>
        <w:tc>
          <w:tcPr>
            <w:tcW w:w="1235" w:type="dxa"/>
            <w:gridSpan w:val="2"/>
            <w:tcBorders>
              <w:bottom w:val="single" w:sz="8" w:space="0" w:color="000000"/>
            </w:tcBorders>
            <w:vAlign w:val="center"/>
          </w:tcPr>
          <w:p>
            <w:pPr>
              <w:pStyle w:val="TableContents"/>
              <w:bidi w:val="0"/>
              <w:spacing w:before="0" w:after="283"/>
              <w:jc w:val="center"/>
              <w:rPr>
                <w:b/>
              </w:rPr>
            </w:pPr>
            <w:r>
              <w:rPr>
                <w:b/>
              </w:rPr>
              <w:t>Votes For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Votes Against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Abstentions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Broker</w:t>
              <w:br/>
              <w:t>Non-Votes</w:t>
            </w:r>
          </w:p>
        </w:tc>
        <w:tc>
          <w:tcPr>
            <w:tcW w:w="135" w:type="dxa"/>
            <w:tcBorders/>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32,523,581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379,428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0" w:type="dxa"/>
            <w:tcBorders/>
            <w:shd w:fill="CCEEFF" w:val="clear"/>
            <w:tcMar>
              <w:bottom w:w="0" w:type="dxa"/>
            </w:tcMar>
            <w:vAlign w:val="center"/>
          </w:tcPr>
          <w:p>
            <w:pPr>
              <w:pStyle w:val="TableContents"/>
              <w:bidi w:val="0"/>
              <w:spacing w:before="0" w:after="283"/>
              <w:jc w:val="right"/>
              <w:rPr/>
            </w:pPr>
            <w:r>
              <w:rPr/>
              <w:t>92,280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11,437,467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7"/>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
        <w:gridCol w:w="90"/>
        <w:gridCol w:w="9447"/>
      </w:tblGrid>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Articles of Incorporation (incorporated by reference to Exhibit 3.1 of the Company’s Annual Report on Form 10-KSB for the year ended December 31, 2004 filed with the Securities and Exchange Commission on September 28, 2005).</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r:id="rId4">
              <w:r>
                <w:rPr>
                  <w:rStyle w:val="InternetLink"/>
                  <w:rFonts w:ascii="Times New Roman;Times;Serif" w:hAnsi="Times New Roman;Times;Serif"/>
                  <w:sz w:val="20"/>
                </w:rPr>
                <w:t>Amended Bylaws of the Company (incorporated by reference to Exhibit 3.2 of the Company’s Annual Report on Form 10-K for the year ended December 31, 2010 filed with the SEC on March 16, 2011).</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Amended Bylaws of the Company (incorporated by reference to Exhibit 3.1 of the Company’s Current Report Form 8-K filed with the SEC on January 31, 2012).</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hyperlink r:id="rId6">
              <w:r>
                <w:rPr>
                  <w:rStyle w:val="InternetLink"/>
                  <w:rFonts w:ascii="Times New Roman;Times;Serif" w:hAnsi="Times New Roman;Times;Serif"/>
                  <w:sz w:val="20"/>
                </w:rPr>
                <w:t>Amended Bylaws of the Company (incorporated by reference to Exhibit 3.2 of the Company’s Current Report Form 8-K filed with the SEC on January 23, 2018)</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Amended Bylaws of the Company (incorporated by reference to Exhibit 3.1 of the Company’s Current Report Form 8-K filed with the SEC on September 14, 2021)</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hyperlink r:id="rId8">
              <w:r>
                <w:rPr>
                  <w:rStyle w:val="InternetLink"/>
                  <w:rFonts w:ascii="Times New Roman;Times;Serif" w:hAnsi="Times New Roman;Times;Serif"/>
                  <w:sz w:val="20"/>
                </w:rPr>
                <w:t>Amended Bylaws of the Company (incorporated by reference to Exhibit 3.1 of the Company’s Current Report on Form 8-K filed with the SEC on March 13, 2023).</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Amended Bylaws of the Company (incorporated by reference to Exhibit 3.1 of the Company’s Current Report Form 8-K filed with the SEC on May 23, 2023)</w:t>
              </w:r>
            </w:hyperlink>
            <w:r>
              <w:rPr>
                <w:rFonts w:ascii="Times New Roman;Times;Serif" w:hAnsi="Times New Roman;Times;Serif"/>
                <w:sz w:val="20"/>
              </w:rPr>
              <w:t> </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w:anchor="ivfhex31-1.htm">
              <w:r>
                <w:rPr>
                  <w:rStyle w:val="InternetLink"/>
                  <w:rFonts w:ascii="Times New Roman;Times;Serif" w:hAnsi="Times New Roman;Times;Serif"/>
                  <w:sz w:val="20"/>
                </w:rPr>
                <w:t>Certification of the Principal Executive Officer pursuant to Rule 13a-14(a) and Rule 15d-14(a) under the Securities Exchange Act of 1934, as adopted pursuant to Section 302 of the Sarbanes-Oxley Act of 2002.</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w:anchor="ivfhex31-2.htm">
              <w:r>
                <w:rPr>
                  <w:rStyle w:val="InternetLink"/>
                  <w:rFonts w:ascii="Times New Roman;Times;Serif" w:hAnsi="Times New Roman;Times;Serif"/>
                  <w:sz w:val="20"/>
                </w:rPr>
                <w:t>Certification of the Principal Financial Officer pursuant to Rule 13a-14(a) and Rule 15d-14(a) under the Securities Exchange Act of 1934, as adopted pursuant to Section 302 of the Sarbanes-Oxley Act of 2002.</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hyperlink w:anchor="ivfhex32-1.htm">
              <w:r>
                <w:rPr>
                  <w:rStyle w:val="InternetLink"/>
                  <w:rFonts w:ascii="Times New Roman;Times;Serif" w:hAnsi="Times New Roman;Times;Serif"/>
                  <w:sz w:val="20"/>
                </w:rPr>
                <w:t>Certification of the Principal Executive and Financial Officer pursuant to 18 U.S.C. 1350, as adopted pursuant to Section 906 of the Sarbanes-Oxley Act of 2002.</w:t>
              </w:r>
            </w:hyperlink>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6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both"/>
              <w:rPr/>
            </w:pPr>
            <w:r>
              <w:rPr/>
              <w:t> </w:t>
            </w:r>
          </w:p>
        </w:tc>
        <w:tc>
          <w:tcPr>
            <w:tcW w:w="9447" w:type="dxa"/>
            <w:tcBorders/>
            <w:vAlign w:val="center"/>
          </w:tcPr>
          <w:p>
            <w:pPr>
              <w:pStyle w:val="TableContents"/>
              <w:bidi w:val="0"/>
              <w:spacing w:before="0" w:after="283"/>
              <w:jc w:val="both"/>
              <w:rPr/>
            </w:pPr>
            <w:r>
              <w:rPr>
                <w:rFonts w:ascii="Times New Roman;Times;Serif" w:hAnsi="Times New Roman;Times;Serif"/>
                <w:sz w:val="20"/>
              </w:rPr>
              <w:t>Cover Page Interactive Data File (formatted as Inline XBRL and contained in Exhibit 101)</w:t>
            </w:r>
            <w:r>
              <w:rPr/>
              <w:t> </w:t>
            </w:r>
          </w:p>
        </w:tc>
      </w:tr>
    </w:tbl>
    <w:p>
      <w:pPr>
        <w:pStyle w:val="TextBody"/>
        <w:bidi w:val="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shd w:fill="FFFFFF" w:val="clear"/>
        <w:tblLayout w:type="fixed"/>
        <w:tblCellMar>
          <w:top w:w="0" w:type="dxa"/>
          <w:left w:w="0" w:type="dxa"/>
          <w:bottom w:w="0" w:type="dxa"/>
          <w:right w:w="0" w:type="dxa"/>
        </w:tblCellMar>
      </w:tblPr>
      <w:tblGrid>
        <w:gridCol w:w="1895"/>
        <w:gridCol w:w="620"/>
        <w:gridCol w:w="6305"/>
      </w:tblGrid>
      <w:tr>
        <w:trPr/>
        <w:tc>
          <w:tcPr>
            <w:tcW w:w="1895" w:type="dxa"/>
            <w:tcBorders/>
            <w:shd w:fill="FFFFFF" w:val="clear"/>
            <w:vAlign w:val="center"/>
          </w:tcPr>
          <w:p>
            <w:pPr>
              <w:pStyle w:val="TableContents"/>
              <w:bidi w:val="0"/>
              <w:spacing w:before="0" w:after="283"/>
              <w:jc w:val="both"/>
              <w:rPr/>
            </w:pPr>
            <w:r>
              <w:rPr/>
              <w:t> </w:t>
            </w:r>
          </w:p>
        </w:tc>
        <w:tc>
          <w:tcPr>
            <w:tcW w:w="6925" w:type="dxa"/>
            <w:gridSpan w:val="2"/>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INNOVATIVE FOOD HOLDINGS, INC.</w:t>
            </w:r>
          </w:p>
        </w:tc>
      </w:tr>
      <w:tr>
        <w:trPr/>
        <w:tc>
          <w:tcPr>
            <w:tcW w:w="1895" w:type="dxa"/>
            <w:tcBorders/>
            <w:shd w:fill="FFFFFF" w:val="clear"/>
            <w:vAlign w:val="center"/>
          </w:tcPr>
          <w:p>
            <w:pPr>
              <w:pStyle w:val="TableContents"/>
              <w:bidi w:val="0"/>
              <w:spacing w:before="0" w:after="283"/>
              <w:jc w:val="both"/>
              <w:rPr/>
            </w:pPr>
            <w:r>
              <w:rPr/>
              <w:t> </w:t>
            </w:r>
          </w:p>
        </w:tc>
        <w:tc>
          <w:tcPr>
            <w:tcW w:w="620" w:type="dxa"/>
            <w:tcBorders/>
            <w:shd w:fill="FFFFFF" w:val="clear"/>
            <w:vAlign w:val="center"/>
          </w:tcPr>
          <w:p>
            <w:pPr>
              <w:pStyle w:val="TableContents"/>
              <w:bidi w:val="0"/>
              <w:spacing w:before="0" w:after="283"/>
              <w:jc w:val="both"/>
              <w:rPr/>
            </w:pPr>
            <w:r>
              <w:rPr/>
              <w:t> </w:t>
            </w:r>
          </w:p>
        </w:tc>
        <w:tc>
          <w:tcPr>
            <w:tcW w:w="6305" w:type="dxa"/>
            <w:tcBorders/>
            <w:shd w:fill="FFFFFF" w:val="clear"/>
            <w:vAlign w:val="center"/>
          </w:tcPr>
          <w:p>
            <w:pPr>
              <w:pStyle w:val="TableContents"/>
              <w:bidi w:val="0"/>
              <w:spacing w:before="0" w:after="283"/>
              <w:jc w:val="both"/>
              <w:rPr/>
            </w:pPr>
            <w:r>
              <w:rPr/>
              <w:t> </w:t>
            </w:r>
          </w:p>
        </w:tc>
      </w:tr>
      <w:tr>
        <w:trPr/>
        <w:tc>
          <w:tcPr>
            <w:tcW w:w="18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c>
          <w:tcPr>
            <w:tcW w:w="6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30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Gary Schubert</w:t>
            </w:r>
          </w:p>
        </w:tc>
      </w:tr>
      <w:tr>
        <w:trPr/>
        <w:tc>
          <w:tcPr>
            <w:tcW w:w="1895" w:type="dxa"/>
            <w:tcBorders/>
            <w:shd w:fill="FFFFFF" w:val="clear"/>
            <w:vAlign w:val="center"/>
          </w:tcPr>
          <w:p>
            <w:pPr>
              <w:pStyle w:val="TableContents"/>
              <w:bidi w:val="0"/>
              <w:spacing w:before="0" w:after="283"/>
              <w:jc w:val="both"/>
              <w:rPr/>
            </w:pPr>
            <w:r>
              <w:rPr/>
              <w:t> </w:t>
            </w:r>
          </w:p>
        </w:tc>
        <w:tc>
          <w:tcPr>
            <w:tcW w:w="6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630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Schubert</w:t>
            </w:r>
          </w:p>
        </w:tc>
      </w:tr>
      <w:tr>
        <w:trPr/>
        <w:tc>
          <w:tcPr>
            <w:tcW w:w="1895" w:type="dxa"/>
            <w:tcBorders/>
            <w:shd w:fill="FFFFFF" w:val="clear"/>
            <w:vAlign w:val="center"/>
          </w:tcPr>
          <w:p>
            <w:pPr>
              <w:pStyle w:val="TableContents"/>
              <w:bidi w:val="0"/>
              <w:spacing w:before="0" w:after="283"/>
              <w:jc w:val="both"/>
              <w:rPr/>
            </w:pPr>
            <w:r>
              <w:rPr/>
              <w:t> </w:t>
            </w:r>
          </w:p>
        </w:tc>
        <w:tc>
          <w:tcPr>
            <w:tcW w:w="6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95" w:type="dxa"/>
            <w:tcBorders/>
            <w:shd w:fill="FFFFFF" w:val="clear"/>
            <w:vAlign w:val="center"/>
          </w:tcPr>
          <w:p>
            <w:pPr>
              <w:pStyle w:val="TableContents"/>
              <w:bidi w:val="0"/>
              <w:spacing w:before="0" w:after="283"/>
              <w:jc w:val="both"/>
              <w:rPr/>
            </w:pPr>
            <w:r>
              <w:rPr/>
              <w:t> </w:t>
            </w:r>
          </w:p>
        </w:tc>
        <w:tc>
          <w:tcPr>
            <w:tcW w:w="620" w:type="dxa"/>
            <w:tcBorders/>
            <w:shd w:fill="FFFFFF" w:val="clear"/>
            <w:vAlign w:val="center"/>
          </w:tcPr>
          <w:p>
            <w:pPr>
              <w:pStyle w:val="TableContents"/>
              <w:bidi w:val="0"/>
              <w:spacing w:before="0" w:after="283"/>
              <w:jc w:val="both"/>
              <w:rPr/>
            </w:pPr>
            <w:r>
              <w:rPr/>
              <w:t> </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ivfhex31-1.htm"/>
      <w:bookmarkStart w:id="23" w:name="ksivfhex311"/>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Gary Schubert, certify that:</w:t>
      </w:r>
    </w:p>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85"/>
        <w:gridCol w:w="69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Innovative Food Holdings,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Gary Schubert</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Schubert</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ivfhex31-2.htm"/>
      <w:bookmarkStart w:id="25" w:name="ksivfhex312"/>
      <w:bookmarkEnd w:id="24"/>
      <w:bookmarkEnd w:id="2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Gary Schubert, certify that:</w:t>
      </w:r>
    </w:p>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85"/>
        <w:gridCol w:w="69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Innovative Food Holdings,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August </w:t>
            </w:r>
            <w:r>
              <w:rPr>
                <w:rFonts w:ascii="Times New Roman;Times;Serif" w:hAnsi="Times New Roman;Times;Serif"/>
                <w:sz w:val="20"/>
                <w:shd w:fill="FFFFFF" w:val="clear"/>
              </w:rPr>
              <w:t>14</w:t>
            </w:r>
            <w:r>
              <w:rPr>
                <w:rFonts w:ascii="Times New Roman;Times;Serif" w:hAnsi="Times New Roman;Times;Serif"/>
                <w:sz w:val="20"/>
              </w:rPr>
              <w:t>, 2026</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Gary Schubert</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Schubert</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ivfhex32-1.htm"/>
      <w:bookmarkStart w:id="27" w:name="ksivfhex321"/>
      <w:bookmarkEnd w:id="26"/>
      <w:bookmarkEnd w:id="27"/>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AND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br/>
        <w:t>AS ADOPTED PURSUANT TO SECTION 906 OF THE SARBANES 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Innovative Food Holdings, Inc. (the “Company”) on Form 10-Q for the period ended June 30, 2026 as filed with the Securities and Exchange Commission on the date hereof (the “Report”), I, Gary Schubert,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75"/>
        <w:gridCol w:w="6245"/>
      </w:tblGrid>
      <w:tr>
        <w:trPr/>
        <w:tc>
          <w:tcPr>
            <w:tcW w:w="75" w:type="dxa"/>
            <w:tcBorders/>
            <w:vAlign w:val="center"/>
          </w:tcPr>
          <w:p>
            <w:pPr>
              <w:pStyle w:val="TableContents"/>
              <w:bidi w:val="0"/>
              <w:spacing w:before="0" w:after="283"/>
              <w:jc w:val="left"/>
              <w:rPr/>
            </w:pPr>
            <w:r>
              <w:rPr/>
              <w:t> </w:t>
            </w:r>
          </w:p>
        </w:tc>
        <w:tc>
          <w:tcPr>
            <w:tcW w:w="62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Gary Schubert</w:t>
            </w:r>
          </w:p>
        </w:tc>
      </w:tr>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Schubert</w:t>
            </w:r>
          </w:p>
        </w:tc>
      </w:tr>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 and Principal Financial and Accounting Officer)</w:t>
            </w:r>
          </w:p>
        </w:tc>
      </w:tr>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2257/000114420405030172/v025859_ex3-1.htm" TargetMode="External"/><Relationship Id="rId4" Type="http://schemas.openxmlformats.org/officeDocument/2006/relationships/hyperlink" Target="https://www.sec.gov/Archives/edgar/data/312257/000118518511000325/ex3-2.htm" TargetMode="External"/><Relationship Id="rId5" Type="http://schemas.openxmlformats.org/officeDocument/2006/relationships/hyperlink" Target="https://www.sec.gov/Archives/edgar/data/312257/000118518512000163/ex3-1.htm" TargetMode="External"/><Relationship Id="rId6" Type="http://schemas.openxmlformats.org/officeDocument/2006/relationships/hyperlink" Target="https://www.sec.gov/Archives/edgar/data/312257/000118518518000100/ex3-ii.htm" TargetMode="External"/><Relationship Id="rId7" Type="http://schemas.openxmlformats.org/officeDocument/2006/relationships/hyperlink" Target="https://www.sec.gov/Archives/edgar/data/312257/000118518521001291/ex_283633.htm" TargetMode="External"/><Relationship Id="rId8" Type="http://schemas.openxmlformats.org/officeDocument/2006/relationships/hyperlink" Target="https://www.sec.gov/Archives/edgar/data/312257/000118518523000204/ex_488087.htm" TargetMode="External"/><Relationship Id="rId9" Type="http://schemas.openxmlformats.org/officeDocument/2006/relationships/hyperlink" Target="https://www.sec.gov/Archives/edgar/data/312257/000118518523000574/ex_524877.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16765</Words>
  <Characters>89699</Characters>
  <CharactersWithSpaces>108781</CharactersWithSpaces>
  <Paragraphs>8064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